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pdlb-20260331.htm"/>
        <w:bookmarkStart w:id="1" w:name="kspdlb20260331"/>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001-41255</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Ponce Financial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87-1893965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2244 Westchester Avenue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Bronx, NY</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10462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Registrant’s telephone number, including area code: (718) 931-9000</w:t>
      </w:r>
    </w:p>
    <w:p>
      <w:pPr>
        <w:pStyle w:val="TextBody"/>
        <w:pBdr>
          <w:bottom w:val="single" w:sz="4" w:space="1" w:color="000000"/>
        </w:pBdr>
        <w:bidi w:val="0"/>
        <w:spacing w:before="40" w:after="100"/>
        <w:jc w:val="center"/>
        <w:rPr/>
      </w:pPr>
      <w:r>
        <w:rPr/>
        <w:t> </w:t>
      </w:r>
    </w:p>
    <w:p>
      <w:pPr>
        <w:pStyle w:val="TextBody"/>
        <w:bidi w:val="0"/>
        <w:jc w:val="both"/>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both"/>
        <w:rPr/>
      </w:pPr>
      <w:r>
        <w:rPr/>
        <w:t> </w:t>
      </w:r>
    </w:p>
    <w:tbl>
      <w:tblPr>
        <w:tblW w:w="7510" w:type="dxa"/>
        <w:jc w:val="left"/>
        <w:tblInd w:w="0" w:type="dxa"/>
        <w:tblLayout w:type="fixed"/>
        <w:tblCellMar>
          <w:top w:w="28" w:type="dxa"/>
          <w:left w:w="28" w:type="dxa"/>
          <w:bottom w:w="28" w:type="dxa"/>
          <w:right w:w="28" w:type="dxa"/>
        </w:tblCellMar>
      </w:tblPr>
      <w:tblGrid>
        <w:gridCol w:w="3076"/>
        <w:gridCol w:w="146"/>
        <w:gridCol w:w="826"/>
        <w:gridCol w:w="146"/>
        <w:gridCol w:w="331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PDLB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00" w:after="283"/>
        <w:jc w:val="both"/>
        <w:rPr>
          <w:rFonts w:ascii="Times New Roman" w:hAnsi="Times New Roman"/>
          <w:sz w:val="20"/>
        </w:rPr>
      </w:pPr>
      <w:r>
        <w:rPr>
          <w:rFonts w:ascii="Times New Roman" w:hAnsi="Times New Roman"/>
          <w:color w:val="000000"/>
          <w:sz w:val="16"/>
        </w:rPr>
        <w:t>As of May 5, 2026, the registrant had 24,187,901</w:t>
      </w:r>
      <w:r>
        <w:rPr>
          <w:rFonts w:ascii="Times New Roman" w:hAnsi="Times New Roman"/>
          <w:color w:val="000000"/>
          <w:sz w:val="20"/>
        </w:rPr>
        <w:t xml:space="preserve"> </w:t>
      </w:r>
      <w:r>
        <w:rPr>
          <w:rFonts w:ascii="Times New Roman" w:hAnsi="Times New Roman"/>
          <w:color w:val="000000"/>
          <w:sz w:val="16"/>
        </w:rPr>
        <w:t>shares of common stock, $0.01 par value per share,</w:t>
      </w:r>
      <w:r>
        <w:rPr>
          <w:rFonts w:ascii="Times New Roman" w:hAnsi="Times New Roman"/>
          <w:color w:val="000000"/>
          <w:sz w:val="20"/>
        </w:rPr>
        <w:t xml:space="preserve"> </w:t>
      </w:r>
      <w:r>
        <w:rPr>
          <w:rFonts w:ascii="Times New Roman" w:hAnsi="Times New Roman"/>
          <w:color w:val="000000"/>
          <w:sz w:val="16"/>
        </w:rPr>
        <w:t>outstanding.</w:t>
      </w:r>
    </w:p>
    <w:tbl>
      <w:tblPr>
        <w:tblW w:w="7533" w:type="dxa"/>
        <w:jc w:val="left"/>
        <w:tblInd w:w="0" w:type="dxa"/>
        <w:tblLayout w:type="fixed"/>
        <w:tblCellMar>
          <w:top w:w="28" w:type="dxa"/>
          <w:left w:w="28" w:type="dxa"/>
          <w:bottom w:w="28" w:type="dxa"/>
          <w:right w:w="28" w:type="dxa"/>
        </w:tblCellMar>
      </w:tblPr>
      <w:tblGrid>
        <w:gridCol w:w="1591"/>
        <w:gridCol w:w="2551"/>
        <w:gridCol w:w="3391"/>
      </w:tblGrid>
      <w:tr>
        <w:trPr/>
        <w:tc>
          <w:tcPr>
            <w:tcW w:w="159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bidi w:val="0"/>
              <w:spacing w:before="100" w:after="283"/>
              <w:jc w:val="both"/>
              <w:rPr>
                <w:rFonts w:ascii="Times New Roman" w:hAnsi="Times New Roman"/>
                <w:color w:val="000000"/>
                <w:sz w:val="16"/>
              </w:rPr>
            </w:pPr>
            <w:r>
              <w:rPr>
                <w:rFonts w:ascii="Times New Roman" w:hAnsi="Times New Roman"/>
                <w:color w:val="000000"/>
                <w:sz w:val="16"/>
              </w:rPr>
              <w:t>Auditor Firm Id: 686</w:t>
            </w:r>
          </w:p>
        </w:tc>
        <w:tc>
          <w:tcPr>
            <w:tcW w:w="2551" w:type="dxa"/>
            <w:tcBorders/>
            <w:tcMar>
              <w:top w:w="0" w:type="dxa"/>
              <w:left w:w="0" w:type="dxa"/>
              <w:bottom w:w="0" w:type="dxa"/>
              <w:right w:w="0" w:type="dxa"/>
            </w:tcMar>
            <w:vAlign w:val="center"/>
          </w:tcPr>
          <w:p>
            <w:pPr>
              <w:pStyle w:val="TableContents"/>
              <w:bidi w:val="0"/>
              <w:spacing w:before="100" w:after="283"/>
              <w:jc w:val="both"/>
              <w:rPr>
                <w:rFonts w:ascii="Times New Roman" w:hAnsi="Times New Roman"/>
                <w:color w:val="000000"/>
                <w:sz w:val="16"/>
              </w:rPr>
            </w:pPr>
            <w:r>
              <w:rPr>
                <w:rFonts w:ascii="Times New Roman" w:hAnsi="Times New Roman"/>
                <w:color w:val="000000"/>
                <w:sz w:val="16"/>
              </w:rPr>
              <w:t>Auditor Name: Forvis Mazars, LLP</w:t>
            </w:r>
          </w:p>
        </w:tc>
        <w:tc>
          <w:tcPr>
            <w:tcW w:w="3391" w:type="dxa"/>
            <w:tcBorders/>
            <w:tcMar>
              <w:top w:w="0" w:type="dxa"/>
              <w:left w:w="0" w:type="dxa"/>
              <w:bottom w:w="0" w:type="dxa"/>
              <w:right w:w="0" w:type="dxa"/>
            </w:tcMar>
            <w:vAlign w:val="center"/>
          </w:tcPr>
          <w:p>
            <w:pPr>
              <w:pStyle w:val="TableContents"/>
              <w:bidi w:val="0"/>
              <w:spacing w:before="100" w:after="283"/>
              <w:jc w:val="both"/>
              <w:rPr>
                <w:rFonts w:ascii="Times New Roman" w:hAnsi="Times New Roman"/>
                <w:color w:val="000000"/>
                <w:sz w:val="16"/>
              </w:rPr>
            </w:pPr>
            <w:r>
              <w:rPr>
                <w:rFonts w:ascii="Times New Roman" w:hAnsi="Times New Roman"/>
                <w:color w:val="000000"/>
                <w:sz w:val="16"/>
              </w:rPr>
              <w:t>Auditor Location: New York, New York, USA</w:t>
            </w:r>
          </w:p>
        </w:tc>
      </w:tr>
    </w:tbl>
    <w:p>
      <w:pPr>
        <w:pStyle w:val="TextBody"/>
        <w:bidi w:val="0"/>
        <w:spacing w:before="100" w:after="283"/>
        <w:jc w:val="both"/>
        <w:rPr/>
      </w:pPr>
      <w:r>
        <w:rPr/>
        <w:t> </w:t>
      </w:r>
    </w:p>
    <w:p>
      <w:pPr>
        <w:pStyle w:val="TextBody"/>
        <w:pBdr>
          <w:bottom w:val="double" w:sz="6" w:space="1" w:color="000000"/>
        </w:pBdr>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9055" w:type="dxa"/>
        <w:jc w:val="left"/>
        <w:tblInd w:w="0" w:type="dxa"/>
        <w:tblLayout w:type="fixed"/>
        <w:tblCellMar>
          <w:top w:w="28" w:type="dxa"/>
          <w:left w:w="28" w:type="dxa"/>
          <w:bottom w:w="28" w:type="dxa"/>
          <w:right w:w="28" w:type="dxa"/>
        </w:tblCellMar>
      </w:tblPr>
      <w:tblGrid>
        <w:gridCol w:w="886"/>
        <w:gridCol w:w="146"/>
        <w:gridCol w:w="7366"/>
        <w:gridCol w:w="14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financial_condit">
              <w:r>
                <w:rPr>
                  <w:rStyle w:val="InternetLink"/>
                  <w:rFonts w:ascii="Times New Roman" w:hAnsi="Times New Roman"/>
                  <w:color w:val="0000FF"/>
                  <w:sz w:val="20"/>
                  <w:u w:val="single"/>
                </w:rPr>
                <w:t>Consolidated Statements of Financial Condition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income_unaudited">
              <w:r>
                <w:rPr>
                  <w:rStyle w:val="InternetLink"/>
                  <w:rFonts w:ascii="Times New Roman" w:hAnsi="Times New Roman"/>
                  <w:color w:val="0000FF"/>
                  <w:sz w:val="20"/>
                  <w:u w:val="single"/>
                </w:rPr>
                <w:t>Consolidated Statements of Operations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_unaud">
              <w:r>
                <w:rPr>
                  <w:rStyle w:val="InternetLink"/>
                  <w:rFonts w:ascii="Times New Roman" w:hAnsi="Times New Roman"/>
                  <w:color w:val="0000FF"/>
                  <w:sz w:val="20"/>
                  <w:u w:val="single"/>
                </w:rPr>
                <w:t>Consolidated Statements of Cash Flows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_1_nature_business_summary_significa">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839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240" w:after="283"/>
        <w:jc w:val="both"/>
        <w:rPr>
          <w:rFonts w:ascii="Times New Roman" w:hAnsi="Times New Roman"/>
          <w:b/>
          <w:color w:val="000000"/>
          <w:sz w:val="20"/>
        </w:rPr>
      </w:pPr>
      <w:bookmarkStart w:id="4" w:name="item_1_financial_statements"/>
      <w:bookmarkEnd w:id="4"/>
      <w:r>
        <w:rPr>
          <w:rFonts w:ascii="Times New Roman" w:hAnsi="Times New Roman"/>
          <w:b/>
          <w:color w:val="000000"/>
          <w:sz w:val="20"/>
        </w:rPr>
        <w:t>Item 1.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center"/>
        <w:rPr/>
      </w:pPr>
      <w:r>
        <w:rPr/>
        <w:t> </w:t>
      </w:r>
    </w:p>
    <w:p>
      <w:pPr>
        <w:pStyle w:val="TextBody"/>
        <w:bidi w:val="0"/>
        <w:jc w:val="center"/>
        <w:rPr>
          <w:rFonts w:ascii="Times New Roman" w:hAnsi="Times New Roman"/>
          <w:sz w:val="20"/>
        </w:rPr>
      </w:pPr>
      <w:bookmarkStart w:id="5" w:name="consolidated_statements_financial_condit"/>
      <w:bookmarkEnd w:id="5"/>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Financial Condition (Unaudited)</w:t>
      </w:r>
    </w:p>
    <w:p>
      <w:pPr>
        <w:pStyle w:val="TextBody"/>
        <w:bidi w:val="0"/>
        <w:jc w:val="center"/>
        <w:rPr>
          <w:rFonts w:ascii="Times New Roman" w:hAnsi="Times New Roman"/>
          <w:b/>
          <w:color w:val="000000"/>
          <w:sz w:val="20"/>
        </w:rPr>
      </w:pPr>
      <w:r>
        <w:rPr>
          <w:rFonts w:ascii="Times New Roman" w:hAnsi="Times New Roman"/>
          <w:b/>
          <w:color w:val="000000"/>
          <w:sz w:val="20"/>
        </w:rPr>
        <w:t>March 31, 2026 and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68"/>
        <w:gridCol w:w="146"/>
        <w:gridCol w:w="196"/>
        <w:gridCol w:w="826"/>
        <w:gridCol w:w="166"/>
        <w:gridCol w:w="146"/>
        <w:gridCol w:w="200"/>
        <w:gridCol w:w="844"/>
        <w:gridCol w:w="813"/>
      </w:tblGrid>
      <w:tr>
        <w:trPr/>
        <w:tc>
          <w:tcPr>
            <w:tcW w:w="6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126,154</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Available-for-sale securities, at fair value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92,196</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Held-to-maturity securities, net of allowance for credit losses of $211</w:t>
            </w:r>
            <w:r>
              <w:rPr>
                <w:rFonts w:ascii="Times New Roman" w:hAnsi="Times New Roman"/>
                <w:color w:val="000000"/>
                <w:sz w:val="20"/>
              </w:rPr>
              <w:t> </w:t>
            </w:r>
            <w:r>
              <w:rPr>
                <w:rFonts w:ascii="Times New Roman" w:hAnsi="Times New Roman"/>
                <w:color w:val="000000"/>
                <w:sz w:val="16"/>
              </w:rPr>
              <w:t>at March 31, 2026 and $236</w:t>
            </w:r>
            <w:r>
              <w:rPr>
                <w:rFonts w:ascii="Times New Roman" w:hAnsi="Times New Roman"/>
                <w:color w:val="000000"/>
                <w:sz w:val="20"/>
              </w:rPr>
              <w:t> </w:t>
            </w:r>
            <w:r>
              <w:rPr>
                <w:rFonts w:ascii="Times New Roman" w:hAnsi="Times New Roman"/>
                <w:color w:val="000000"/>
                <w:sz w:val="16"/>
              </w:rPr>
              <w:t>at December 31, 2025; at amortized cost (fair value at March 31, 2026 $258,007</w:t>
            </w:r>
            <w:r>
              <w:rPr>
                <w:rFonts w:ascii="Times New Roman" w:hAnsi="Times New Roman"/>
                <w:color w:val="000000"/>
                <w:sz w:val="20"/>
              </w:rPr>
              <w:t> </w:t>
            </w:r>
            <w:r>
              <w:rPr>
                <w:rFonts w:ascii="Times New Roman" w:hAnsi="Times New Roman"/>
                <w:color w:val="000000"/>
                <w:sz w:val="16"/>
              </w:rPr>
              <w:t>and at December 31. 2025 $268,875)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272,982</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Mortgage loans held for sale, at fair value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3,388</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Loans receivable, net of allowance for credit losses of $26,238</w:t>
            </w:r>
            <w:r>
              <w:rPr>
                <w:rFonts w:ascii="Times New Roman" w:hAnsi="Times New Roman"/>
                <w:color w:val="000000"/>
                <w:sz w:val="20"/>
              </w:rPr>
              <w:t> </w:t>
            </w:r>
            <w:r>
              <w:rPr>
                <w:rFonts w:ascii="Times New Roman" w:hAnsi="Times New Roman"/>
                <w:color w:val="000000"/>
                <w:sz w:val="16"/>
              </w:rPr>
              <w:t>at March 31, 2026 and $25,449</w:t>
            </w:r>
            <w:r>
              <w:rPr>
                <w:rFonts w:ascii="Times New Roman" w:hAnsi="Times New Roman"/>
                <w:color w:val="000000"/>
                <w:sz w:val="20"/>
              </w:rPr>
              <w:t> </w:t>
            </w:r>
            <w:r>
              <w:rPr>
                <w:rFonts w:ascii="Times New Roman" w:hAnsi="Times New Roman"/>
                <w:color w:val="000000"/>
                <w:sz w:val="16"/>
              </w:rPr>
              <w:t>at December 31, 2025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2,599,258</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17,905</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Premises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15,638</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27,583</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Home Loan Bank of New York (FHLBNY)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29,309</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Federal Reserve Bank of New York (FRBNY)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10,698</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3,223,970</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2,046,635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Borrowings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596,100</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2,749,394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2,682,421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6"/>
              </w:rPr>
              <w:t>Series A, senior non-cumulative perpetual, $1,000</w:t>
            </w:r>
            <w:r>
              <w:rPr>
                <w:rFonts w:ascii="Times New Roman" w:hAnsi="Times New Roman"/>
                <w:color w:val="000000"/>
                <w:sz w:val="20"/>
              </w:rPr>
              <w:t> </w:t>
            </w:r>
            <w:r>
              <w:rPr>
                <w:rFonts w:ascii="Times New Roman" w:hAnsi="Times New Roman"/>
                <w:color w:val="000000"/>
                <w:sz w:val="16"/>
              </w:rPr>
              <w:t>per share liquidation preference, 225,000</w:t>
            </w:r>
            <w:r>
              <w:rPr>
                <w:rFonts w:ascii="Times New Roman" w:hAnsi="Times New Roman"/>
                <w:color w:val="000000"/>
                <w:sz w:val="20"/>
              </w:rPr>
              <w:t> </w:t>
            </w:r>
            <w:r>
              <w:rPr>
                <w:rFonts w:ascii="Times New Roman" w:hAnsi="Times New Roman"/>
                <w:color w:val="000000"/>
                <w:sz w:val="16"/>
              </w:rPr>
              <w:t>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200,000,000</w:t>
            </w:r>
            <w:r>
              <w:rPr>
                <w:rFonts w:ascii="Times New Roman" w:hAnsi="Times New Roman"/>
                <w:color w:val="000000"/>
                <w:sz w:val="20"/>
              </w:rPr>
              <w:t> </w:t>
            </w:r>
            <w:r>
              <w:rPr>
                <w:rFonts w:ascii="Times New Roman" w:hAnsi="Times New Roman"/>
                <w:color w:val="000000"/>
                <w:sz w:val="16"/>
              </w:rPr>
              <w:t>shares authorized; 24,886,711</w:t>
            </w:r>
            <w:r>
              <w:rPr>
                <w:rFonts w:ascii="Times New Roman" w:hAnsi="Times New Roman"/>
                <w:color w:val="000000"/>
                <w:sz w:val="20"/>
              </w:rPr>
              <w:t> </w:t>
            </w:r>
            <w:r>
              <w:rPr>
                <w:rFonts w:ascii="Times New Roman" w:hAnsi="Times New Roman"/>
                <w:color w:val="000000"/>
                <w:sz w:val="16"/>
              </w:rPr>
              <w:t>shares issued at both March 31, 2026 and December 31, 2025; 24,187,901</w:t>
            </w:r>
            <w:r>
              <w:rPr>
                <w:rFonts w:ascii="Times New Roman" w:hAnsi="Times New Roman"/>
                <w:color w:val="000000"/>
                <w:sz w:val="20"/>
              </w:rPr>
              <w:t> </w:t>
            </w:r>
            <w:r>
              <w:rPr>
                <w:rFonts w:ascii="Times New Roman" w:hAnsi="Times New Roman"/>
                <w:color w:val="000000"/>
                <w:sz w:val="16"/>
              </w:rPr>
              <w:t>shares outstanding as of March 31, 2026 and 24,135,926</w:t>
            </w:r>
            <w:r>
              <w:rPr>
                <w:rFonts w:ascii="Times New Roman" w:hAnsi="Times New Roman"/>
                <w:color w:val="000000"/>
                <w:sz w:val="20"/>
              </w:rPr>
              <w:t> </w:t>
            </w:r>
            <w:r>
              <w:rPr>
                <w:rFonts w:ascii="Times New Roman" w:hAnsi="Times New Roman"/>
                <w:color w:val="000000"/>
                <w:sz w:val="16"/>
              </w:rPr>
              <w:t>shares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Treasury stock, at cost; 698,810</w:t>
            </w:r>
            <w:r>
              <w:rPr>
                <w:rFonts w:ascii="Times New Roman" w:hAnsi="Times New Roman"/>
                <w:color w:val="000000"/>
                <w:sz w:val="20"/>
              </w:rPr>
              <w:t> </w:t>
            </w:r>
            <w:r>
              <w:rPr>
                <w:rFonts w:ascii="Times New Roman" w:hAnsi="Times New Roman"/>
                <w:color w:val="000000"/>
                <w:sz w:val="16"/>
              </w:rPr>
              <w:t>shares as of March 31, 2026 and 750,785</w:t>
            </w:r>
            <w:r>
              <w:rPr>
                <w:rFonts w:ascii="Times New Roman" w:hAnsi="Times New Roman"/>
                <w:color w:val="000000"/>
                <w:sz w:val="20"/>
              </w:rPr>
              <w:t> </w:t>
            </w:r>
            <w:r>
              <w:rPr>
                <w:rFonts w:ascii="Times New Roman" w:hAnsi="Times New Roman"/>
                <w:color w:val="000000"/>
                <w:sz w:val="16"/>
              </w:rPr>
              <w:t>shares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208,604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135,332</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Unearned compensation ─ ESOP; 1,134,808</w:t>
            </w:r>
            <w:r>
              <w:rPr>
                <w:rFonts w:ascii="Times New Roman" w:hAnsi="Times New Roman"/>
                <w:color w:val="000000"/>
                <w:sz w:val="20"/>
              </w:rPr>
              <w:t> </w:t>
            </w:r>
            <w:r>
              <w:rPr>
                <w:rFonts w:ascii="Times New Roman" w:hAnsi="Times New Roman"/>
                <w:color w:val="000000"/>
                <w:sz w:val="16"/>
              </w:rPr>
              <w:t>shares as of March 31, 2026 and 1,168,244</w:t>
              <w:br/>
              <w:t> shares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8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541,549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3,223,970</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center"/>
        <w:rPr/>
      </w:pPr>
      <w:r>
        <w:rPr/>
        <w:t> </w:t>
      </w:r>
    </w:p>
    <w:p>
      <w:pPr>
        <w:pStyle w:val="TextBody"/>
        <w:bidi w:val="0"/>
        <w:jc w:val="center"/>
        <w:rPr>
          <w:rFonts w:ascii="Times New Roman" w:hAnsi="Times New Roman"/>
          <w:sz w:val="20"/>
        </w:rPr>
      </w:pPr>
      <w:bookmarkStart w:id="6" w:name="consolidated_statements_income_unaudited"/>
      <w:bookmarkEnd w:id="6"/>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Operations (Unaudited)</w:t>
      </w:r>
    </w:p>
    <w:p>
      <w:pPr>
        <w:pStyle w:val="TextBody"/>
        <w:bidi w:val="0"/>
        <w:jc w:val="center"/>
        <w:rPr>
          <w:rFonts w:ascii="Times New Roman" w:hAnsi="Times New Roman"/>
          <w:sz w:val="20"/>
        </w:rPr>
      </w:pPr>
      <w:r>
        <w:rPr>
          <w:rFonts w:ascii="Times New Roman" w:hAnsi="Times New Roman"/>
          <w:b/>
          <w:color w:val="000000"/>
          <w:sz w:val="20"/>
        </w:rPr>
        <w:t>Three Months Ended March 31,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except share data)</w:t>
      </w:r>
    </w:p>
    <w:p>
      <w:pPr>
        <w:pStyle w:val="TextBody"/>
        <w:bidi w:val="0"/>
        <w:jc w:val="both"/>
        <w:rPr/>
      </w:pPr>
      <w:r>
        <w:rPr/>
        <w:t> </w:t>
      </w:r>
    </w:p>
    <w:tbl>
      <w:tblPr>
        <w:tblW w:w="8612" w:type="dxa"/>
        <w:jc w:val="left"/>
        <w:tblInd w:w="0" w:type="dxa"/>
        <w:tblLayout w:type="fixed"/>
        <w:tblCellMar>
          <w:top w:w="28" w:type="dxa"/>
          <w:left w:w="28" w:type="dxa"/>
          <w:bottom w:w="28" w:type="dxa"/>
          <w:right w:w="28" w:type="dxa"/>
        </w:tblCellMar>
      </w:tblPr>
      <w:tblGrid>
        <w:gridCol w:w="4871"/>
        <w:gridCol w:w="146"/>
        <w:gridCol w:w="232"/>
        <w:gridCol w:w="1087"/>
        <w:gridCol w:w="173"/>
        <w:gridCol w:w="173"/>
        <w:gridCol w:w="232"/>
        <w:gridCol w:w="1087"/>
        <w:gridCol w:w="611"/>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loans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37,136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and dividend on securities and 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48,662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6,415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other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20,436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28,226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22,203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(benefit) for credit losses (Note 3)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 after provision (benefit)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26,570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22,488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Brokerage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Late and prepayment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on sale of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on sale of SBA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Data processing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loan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Insurance and surety bond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Office supplies, telephone and postage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Marketing and promotional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Federal deposit insurance and regulatory assessment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2,749</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8,342</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Earnings per common share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common shares outstanding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22,988,317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22,662,916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23,331,314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22,876,740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spacing w:before="240" w:after="283"/>
        <w:jc w:val="center"/>
        <w:rPr>
          <w:rFonts w:ascii="Times New Roman" w:hAnsi="Times New Roman"/>
          <w:b/>
          <w:color w:val="000000"/>
          <w:sz w:val="20"/>
        </w:rPr>
      </w:pPr>
      <w:bookmarkStart w:id="7" w:name="consolidated_statements_comprehensive_in"/>
      <w:bookmarkEnd w:id="7"/>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sz w:val="20"/>
        </w:rPr>
      </w:pPr>
      <w:r>
        <w:rPr>
          <w:rFonts w:ascii="Times New Roman" w:hAnsi="Times New Roman"/>
          <w:b/>
          <w:color w:val="000000"/>
          <w:sz w:val="20"/>
        </w:rPr>
        <w:t>Three Months Ended March 31,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9225" w:type="dxa"/>
        <w:jc w:val="left"/>
        <w:tblInd w:w="0" w:type="dxa"/>
        <w:tblLayout w:type="fixed"/>
        <w:tblCellMar>
          <w:top w:w="28" w:type="dxa"/>
          <w:left w:w="28" w:type="dxa"/>
          <w:bottom w:w="28" w:type="dxa"/>
          <w:right w:w="28" w:type="dxa"/>
        </w:tblCellMar>
      </w:tblPr>
      <w:tblGrid>
        <w:gridCol w:w="5506"/>
        <w:gridCol w:w="146"/>
        <w:gridCol w:w="335"/>
        <w:gridCol w:w="908"/>
        <w:gridCol w:w="264"/>
        <w:gridCol w:w="232"/>
        <w:gridCol w:w="335"/>
        <w:gridCol w:w="908"/>
        <w:gridCol w:w="591"/>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notes are an integral part of the consolidated financial statements (unaudited).</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Ponce Financial Group, Inc. and Subsidiaries</w:t>
      </w:r>
    </w:p>
    <w:p>
      <w:pPr>
        <w:pStyle w:val="TextBody"/>
        <w:bidi w:val="0"/>
        <w:spacing w:before="240" w:after="283"/>
        <w:jc w:val="center"/>
        <w:rPr>
          <w:rFonts w:ascii="Times New Roman" w:hAnsi="Times New Roman"/>
          <w:b/>
          <w:color w:val="000000"/>
          <w:sz w:val="16"/>
        </w:rPr>
      </w:pPr>
      <w:bookmarkStart w:id="8" w:name="consolidated_statements_stockholders_equ"/>
      <w:bookmarkEnd w:id="8"/>
      <w:r>
        <w:rPr>
          <w:rFonts w:ascii="Times New Roman" w:hAnsi="Times New Roman"/>
          <w:b/>
          <w:color w:val="000000"/>
          <w:sz w:val="16"/>
        </w:rPr>
        <w:t>Consolidated Statements of Stockholders’ Equity (Unaudited)</w:t>
      </w:r>
    </w:p>
    <w:p>
      <w:pPr>
        <w:pStyle w:val="TextBody"/>
        <w:bidi w:val="0"/>
        <w:jc w:val="center"/>
        <w:rPr>
          <w:rFonts w:ascii="Times New Roman" w:hAnsi="Times New Roman"/>
          <w:sz w:val="20"/>
        </w:rPr>
      </w:pPr>
      <w:r>
        <w:rPr>
          <w:rFonts w:ascii="Times New Roman" w:hAnsi="Times New Roman"/>
          <w:b/>
          <w:color w:val="000000"/>
          <w:sz w:val="16"/>
        </w:rPr>
        <w:t>Three Months Ended March 31, 2026 and 2025</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(Dollars in thousands, except share data)</w:t>
      </w:r>
    </w:p>
    <w:p>
      <w:pPr>
        <w:pStyle w:val="TextBody"/>
        <w:bidi w:val="0"/>
        <w:jc w:val="both"/>
        <w:rPr/>
      </w:pPr>
      <w:r>
        <w:rPr/>
        <w:t> </w:t>
      </w:r>
    </w:p>
    <w:p>
      <w:pPr>
        <w:pStyle w:val="TextBody"/>
        <w:bidi w:val="0"/>
        <w:jc w:val="both"/>
        <w:rPr/>
      </w:pPr>
      <w:r>
        <w:rPr/>
        <w:t> </w:t>
      </w:r>
    </w:p>
    <w:tbl>
      <w:tblPr>
        <w:tblW w:w="10853" w:type="dxa"/>
        <w:jc w:val="left"/>
        <w:tblInd w:w="0" w:type="dxa"/>
        <w:tblLayout w:type="fixed"/>
        <w:tblCellMar>
          <w:top w:w="28" w:type="dxa"/>
          <w:left w:w="28" w:type="dxa"/>
          <w:bottom w:w="28" w:type="dxa"/>
          <w:right w:w="28" w:type="dxa"/>
        </w:tblCellMar>
      </w:tblPr>
      <w:tblGrid>
        <w:gridCol w:w="871"/>
        <w:gridCol w:w="146"/>
        <w:gridCol w:w="146"/>
        <w:gridCol w:w="496"/>
        <w:gridCol w:w="146"/>
        <w:gridCol w:w="146"/>
        <w:gridCol w:w="166"/>
        <w:gridCol w:w="496"/>
        <w:gridCol w:w="146"/>
        <w:gridCol w:w="146"/>
        <w:gridCol w:w="146"/>
        <w:gridCol w:w="646"/>
        <w:gridCol w:w="146"/>
        <w:gridCol w:w="146"/>
        <w:gridCol w:w="170"/>
        <w:gridCol w:w="356"/>
        <w:gridCol w:w="146"/>
        <w:gridCol w:w="146"/>
        <w:gridCol w:w="166"/>
        <w:gridCol w:w="421"/>
        <w:gridCol w:w="151"/>
        <w:gridCol w:w="146"/>
        <w:gridCol w:w="166"/>
        <w:gridCol w:w="496"/>
        <w:gridCol w:w="151"/>
        <w:gridCol w:w="146"/>
        <w:gridCol w:w="166"/>
        <w:gridCol w:w="496"/>
        <w:gridCol w:w="151"/>
        <w:gridCol w:w="146"/>
        <w:gridCol w:w="234"/>
        <w:gridCol w:w="682"/>
        <w:gridCol w:w="151"/>
        <w:gridCol w:w="146"/>
        <w:gridCol w:w="184"/>
        <w:gridCol w:w="537"/>
        <w:gridCol w:w="151"/>
        <w:gridCol w:w="146"/>
        <w:gridCol w:w="166"/>
        <w:gridCol w:w="496"/>
        <w:gridCol w:w="35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Unallocated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 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ESOP</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24,135,926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208,604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541,549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8,623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24,187,901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209,219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551,363</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853" w:type="dxa"/>
        <w:jc w:val="left"/>
        <w:tblInd w:w="0" w:type="dxa"/>
        <w:tblLayout w:type="fixed"/>
        <w:tblCellMar>
          <w:top w:w="28" w:type="dxa"/>
          <w:left w:w="28" w:type="dxa"/>
          <w:bottom w:w="28" w:type="dxa"/>
          <w:right w:w="28" w:type="dxa"/>
        </w:tblCellMar>
      </w:tblPr>
      <w:tblGrid>
        <w:gridCol w:w="871"/>
        <w:gridCol w:w="146"/>
        <w:gridCol w:w="146"/>
        <w:gridCol w:w="496"/>
        <w:gridCol w:w="146"/>
        <w:gridCol w:w="146"/>
        <w:gridCol w:w="166"/>
        <w:gridCol w:w="496"/>
        <w:gridCol w:w="146"/>
        <w:gridCol w:w="146"/>
        <w:gridCol w:w="146"/>
        <w:gridCol w:w="646"/>
        <w:gridCol w:w="146"/>
        <w:gridCol w:w="146"/>
        <w:gridCol w:w="170"/>
        <w:gridCol w:w="356"/>
        <w:gridCol w:w="146"/>
        <w:gridCol w:w="146"/>
        <w:gridCol w:w="166"/>
        <w:gridCol w:w="421"/>
        <w:gridCol w:w="151"/>
        <w:gridCol w:w="146"/>
        <w:gridCol w:w="166"/>
        <w:gridCol w:w="496"/>
        <w:gridCol w:w="151"/>
        <w:gridCol w:w="146"/>
        <w:gridCol w:w="166"/>
        <w:gridCol w:w="496"/>
        <w:gridCol w:w="151"/>
        <w:gridCol w:w="146"/>
        <w:gridCol w:w="234"/>
        <w:gridCol w:w="682"/>
        <w:gridCol w:w="151"/>
        <w:gridCol w:w="146"/>
        <w:gridCol w:w="184"/>
        <w:gridCol w:w="537"/>
        <w:gridCol w:w="151"/>
        <w:gridCol w:w="146"/>
        <w:gridCol w:w="166"/>
        <w:gridCol w:w="496"/>
        <w:gridCol w:w="35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Unallocated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At 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 ESOP</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23,961,214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207,319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107,754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505,500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5,959</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stock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ESOP shares committed to be released (33,436</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2"/>
              </w:rPr>
            </w:pPr>
            <w:r>
              <w:rPr>
                <w:rFonts w:ascii="Times New Roman" w:hAnsi="Times New Roman"/>
                <w:b/>
                <w:color w:val="000000"/>
                <w:sz w:val="12"/>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23,966,191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(7,641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207,888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113,432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513,886</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Ponce Financial Group, Inc. </w:t>
      </w:r>
      <w:r>
        <w:rPr>
          <w:rFonts w:ascii="Times New Roman" w:hAnsi="Times New Roman"/>
          <w:b/>
          <w:color w:val="000000"/>
          <w:sz w:val="18"/>
        </w:rPr>
        <w:t>and Subsidiaries</w:t>
      </w:r>
    </w:p>
    <w:p>
      <w:pPr>
        <w:pStyle w:val="TextBody"/>
        <w:bidi w:val="0"/>
        <w:spacing w:before="120" w:after="283"/>
        <w:jc w:val="center"/>
        <w:rPr>
          <w:rFonts w:ascii="Times New Roman" w:hAnsi="Times New Roman"/>
          <w:b/>
          <w:color w:val="000000"/>
          <w:sz w:val="18"/>
        </w:rPr>
      </w:pPr>
      <w:bookmarkStart w:id="9" w:name="consolidated_statements_cash_flows_unaud"/>
      <w:bookmarkEnd w:id="9"/>
      <w:r>
        <w:rPr>
          <w:rFonts w:ascii="Times New Roman" w:hAnsi="Times New Roman"/>
          <w:b/>
          <w:color w:val="000000"/>
          <w:sz w:val="18"/>
        </w:rPr>
        <w:t>Consolidated Statements of Cash Flows (Unaudited)</w:t>
      </w:r>
    </w:p>
    <w:p>
      <w:pPr>
        <w:pStyle w:val="TextBody"/>
        <w:bidi w:val="0"/>
        <w:jc w:val="center"/>
        <w:rPr>
          <w:rFonts w:ascii="Times New Roman" w:hAnsi="Times New Roman"/>
          <w:b/>
          <w:color w:val="000000"/>
          <w:sz w:val="18"/>
        </w:rPr>
      </w:pPr>
      <w:r>
        <w:rPr>
          <w:rFonts w:ascii="Times New Roman" w:hAnsi="Times New Roman"/>
          <w:b/>
          <w:color w:val="000000"/>
          <w:sz w:val="18"/>
        </w:rPr>
        <w:t>Three Months Ended March 31, 2026 and 2025</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p>
      <w:pPr>
        <w:pStyle w:val="TextBody"/>
        <w:bidi w:val="0"/>
        <w:spacing w:before="40" w:after="283"/>
        <w:jc w:val="both"/>
        <w:rPr/>
      </w:pPr>
      <w:r>
        <w:rPr/>
        <w:t> </w:t>
      </w:r>
    </w:p>
    <w:p>
      <w:pPr>
        <w:pStyle w:val="TextBody"/>
        <w:bidi w:val="0"/>
        <w:spacing w:before="40" w:after="283"/>
        <w:jc w:val="both"/>
        <w:rPr/>
      </w:pPr>
      <w:r>
        <w:rPr/>
        <w:t> </w:t>
      </w:r>
    </w:p>
    <w:tbl>
      <w:tblPr>
        <w:tblW w:w="9294" w:type="dxa"/>
        <w:jc w:val="left"/>
        <w:tblInd w:w="0" w:type="dxa"/>
        <w:tblLayout w:type="fixed"/>
        <w:tblCellMar>
          <w:top w:w="28" w:type="dxa"/>
          <w:left w:w="28" w:type="dxa"/>
          <w:bottom w:w="28" w:type="dxa"/>
          <w:right w:w="28" w:type="dxa"/>
        </w:tblCellMar>
      </w:tblPr>
      <w:tblGrid>
        <w:gridCol w:w="5991"/>
        <w:gridCol w:w="146"/>
        <w:gridCol w:w="196"/>
        <w:gridCol w:w="751"/>
        <w:gridCol w:w="166"/>
        <w:gridCol w:w="146"/>
        <w:gridCol w:w="196"/>
        <w:gridCol w:w="691"/>
        <w:gridCol w:w="1011"/>
      </w:tblGrid>
      <w:tr>
        <w:trPr/>
        <w:tc>
          <w:tcPr>
            <w:tcW w:w="5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premiums/discounts on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sale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(benefit)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ESOP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mortgage loans held for sale,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decrease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in 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Decrease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Increase (decrease) in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redemption and (purchase) of 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redemption and (purchase) of 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maturities, calls and principal repayments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increase in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120,083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repayment from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on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44,802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139,839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129,893</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 on deposits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The accompanying notes are an integral part of the consolidated financial statements (unaudited).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b/>
          <w:color w:val="000000"/>
          <w:sz w:val="20"/>
        </w:rPr>
      </w:pPr>
      <w:bookmarkStart w:id="10" w:name="note_1_nature_business_summary_significa"/>
      <w:bookmarkEnd w:id="10"/>
      <w:r>
        <w:rPr>
          <w:rFonts w:ascii="Times New Roman" w:hAnsi="Times New Roman"/>
          <w:b/>
          <w:color w:val="000000"/>
          <w:sz w:val="20"/>
        </w:rPr>
        <w:t>Note 1. Nature of Business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Basis of Presentation and Consolidation:</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Ponce Financial Group, Inc. (hereafter referred to as “we,” “our,” “us,” “Ponce Financial Group, Inc.,” or the “Company”) is a financial holding company and the holding company of Ponce Bank, National Association. (“Ponce Bank” or the “Bank”), a national bank. The Company’s Consolidated Financial Statements presented herein have been prepared in accordance with accounting principles generally accepted in the United States of America (“GAAP”). </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Financial Statements include the accounts of the Company and its wholly-owned subsidiary Ponce Bank. All significant intercompany transactions and balances have been eliminated in consolidation. For further information, refer to the audited Consolidated Financial Statements and Notes included in the Company' Annual Report on Form 10-K for the year ended December 31, 2025 filed with the SEC on March 13, 2026 (the "2025 Form 10-K").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Use of Estimates</w:t>
      </w:r>
      <w:r>
        <w:rPr>
          <w:rFonts w:ascii="Times New Roman" w:hAnsi="Times New Roman"/>
          <w:color w:val="000000"/>
          <w:sz w:val="20"/>
        </w:rPr>
        <w:t>: In preparing the consolidated financial statements, management is required to make estimates and assumptions that affect the reported amounts of assets and liabilities and disclosure of contingent assets and liabilities, as of the date of the consolidated statement of financial condition, and revenues and expenses for the reporting period. Actual results could differ from those estimates. Material estimates that are particularly susceptible to significant change in the near term relate to the determination of the allowance for credit losses, the valuation of real estate acquired in connection with foreclosures or in satisfaction of loans, the valuation of loans held for sale, the valuation of deferred tax assets and investment securities and the estimates relating to the valuation for share-based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Segment Reporting</w:t>
      </w:r>
      <w:r>
        <w:rPr>
          <w:rFonts w:ascii="Times New Roman" w:hAnsi="Times New Roman"/>
          <w:color w:val="000000"/>
          <w:sz w:val="20"/>
        </w:rPr>
        <w:t>: 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Chief Executive Officer is the Company’s CODM. The CODM reviews financial information presented on a consolidated basis for purposes of making operating decisions, allocating resources, and evaluating financial performance. As such, the Company has determined that it operates as one operating segment and one reportable segment.</w:t>
      </w:r>
    </w:p>
    <w:p>
      <w:pPr>
        <w:pStyle w:val="TextBody"/>
        <w:bidi w:val="0"/>
        <w:spacing w:before="360" w:after="283"/>
        <w:jc w:val="both"/>
        <w:rPr>
          <w:rFonts w:ascii="Times New Roman" w:hAnsi="Times New Roman"/>
          <w:sz w:val="20"/>
        </w:rPr>
      </w:pPr>
      <w:r>
        <w:rPr>
          <w:rFonts w:ascii="Times New Roman" w:hAnsi="Times New Roman"/>
          <w:b/>
          <w:color w:val="000000"/>
          <w:sz w:val="20"/>
        </w:rPr>
        <w:t>Note 2. Preferred Stock</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June 7, 2022 (the “Original Closing Date”), the Company issued 225,000 shares of the Company’s Preferred Stock‎, 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w:t>
      </w:r>
      <w:r>
        <w:rPr>
          <w:rFonts w:ascii="Times New Roman" w:hAnsi="Times New Roman"/>
          <w:color w:val="1F497D"/>
          <w:sz w:val="20"/>
        </w:rPr>
        <w:t xml:space="preserve"> </w:t>
      </w:r>
      <w:r>
        <w:rPr>
          <w:rFonts w:ascii="Times New Roman" w:hAnsi="Times New Roman"/>
          <w:color w:val="000000"/>
          <w:sz w:val="20"/>
        </w:rPr>
        <w:t>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$0.3 million for the three months ended March 31, 2026 and $0.3 million for the three months ended March 31, 2025.</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 (3) the Preferred Stock has a dividend rate of no more than 0.5%, which dividend rate is calculated pursuant to the ECIP and the terms thereof, at each of six consecutive Reset Dates, as defined in the ECIP. </w:t>
      </w:r>
    </w:p>
    <w:p>
      <w:pPr>
        <w:pStyle w:val="TextBody"/>
        <w:bidi w:val="0"/>
        <w:jc w:val="both"/>
        <w:rPr>
          <w:rFonts w:ascii="Times New Roman" w:hAnsi="Times New Roman"/>
          <w:color w:val="000000"/>
          <w:sz w:val="20"/>
        </w:rPr>
      </w:pPr>
      <w:r>
        <w:rPr>
          <w:rFonts w:ascii="Times New Roman" w:hAnsi="Times New Roman"/>
          <w:color w:val="000000"/>
          <w:sz w:val="20"/>
        </w:rPr>
        <w:t xml:space="preserve">The earliest possible date by which a Threshold Condition may be met is June 30, 2026, which is the end of the sixteenth consecutive quarter following the Original Closing Date. However, the Company does not currently meet any of the Threshold Conditions to exercise the purchase option, and there can be no assurance if and when the Threshold Conditions will be met. The closing of the repurchase of the Preferred Stock, if consummated, would occur between thirty and ninety days following the satisfaction of the Threshold Condition and all other applicable conditions. At present, the Company has reported 15 consecutive quarters for which it has met both the Deep Impact and Qualified Lending Conditions. The Preferred Stock currently has a dividend rate of 0.5%. </w:t>
      </w:r>
    </w:p>
    <w:p>
      <w:pPr>
        <w:pStyle w:val="TextBody"/>
        <w:bidi w:val="0"/>
        <w:jc w:val="left"/>
        <w:rPr>
          <w:rFonts w:ascii="Times New Roman" w:hAnsi="Times New Roman"/>
          <w:color w:val="000000"/>
          <w:sz w:val="20"/>
        </w:rPr>
      </w:pPr>
      <w:r>
        <w:rPr>
          <w:rFonts w:ascii="Times New Roman" w:hAnsi="Times New Roman"/>
          <w:color w:val="000000"/>
          <w:sz w:val="20"/>
        </w:rPr>
        <w:t>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meets the general eligibility criteria, other than satisfying one of the Threshold Conditions, there can be no assurance that the Company will meet such criteria, or any amended or additional criteria that may be imposed,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2025 and March 31, 2026.</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amortized cost, gross unrealized gains and losses, and fair value of securities at March 31, 2026 and December 31, 2025 are summarized as follows:</w:t>
      </w:r>
    </w:p>
    <w:p>
      <w:pPr>
        <w:pStyle w:val="TextBody"/>
        <w:bidi w:val="0"/>
        <w:jc w:val="both"/>
        <w:rPr/>
      </w:pPr>
      <w:r>
        <w:rPr/>
        <w:t> </w:t>
      </w:r>
    </w:p>
    <w:tbl>
      <w:tblPr>
        <w:tblW w:w="8901" w:type="dxa"/>
        <w:jc w:val="left"/>
        <w:tblInd w:w="0" w:type="dxa"/>
        <w:tblLayout w:type="fixed"/>
        <w:tblCellMar>
          <w:top w:w="28" w:type="dxa"/>
          <w:left w:w="28" w:type="dxa"/>
          <w:bottom w:w="28" w:type="dxa"/>
          <w:right w:w="28" w:type="dxa"/>
        </w:tblCellMar>
      </w:tblPr>
      <w:tblGrid>
        <w:gridCol w:w="3531"/>
        <w:gridCol w:w="146"/>
        <w:gridCol w:w="211"/>
        <w:gridCol w:w="781"/>
        <w:gridCol w:w="166"/>
        <w:gridCol w:w="146"/>
        <w:gridCol w:w="295"/>
        <w:gridCol w:w="591"/>
        <w:gridCol w:w="146"/>
        <w:gridCol w:w="146"/>
        <w:gridCol w:w="211"/>
        <w:gridCol w:w="736"/>
        <w:gridCol w:w="166"/>
        <w:gridCol w:w="146"/>
        <w:gridCol w:w="211"/>
        <w:gridCol w:w="781"/>
        <w:gridCol w:w="4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SBA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Federal Home Loan Mortgage Corporation (“FHLMC”), Federal National Mortgage Association (“FNMA”) and Ginnie Mae (“GNMA”) issued securities.</w:t>
      </w:r>
    </w:p>
    <w:p>
      <w:pPr>
        <w:pStyle w:val="TextBody"/>
        <w:bidi w:val="0"/>
        <w:jc w:val="both"/>
        <w:rPr/>
      </w:pPr>
      <w:r>
        <w:rPr/>
        <w:t> </w:t>
      </w:r>
    </w:p>
    <w:tbl>
      <w:tblPr>
        <w:tblW w:w="8901" w:type="dxa"/>
        <w:jc w:val="left"/>
        <w:tblInd w:w="0" w:type="dxa"/>
        <w:tblLayout w:type="fixed"/>
        <w:tblCellMar>
          <w:top w:w="28" w:type="dxa"/>
          <w:left w:w="28" w:type="dxa"/>
          <w:bottom w:w="28" w:type="dxa"/>
          <w:right w:w="28" w:type="dxa"/>
        </w:tblCellMar>
      </w:tblPr>
      <w:tblGrid>
        <w:gridCol w:w="3531"/>
        <w:gridCol w:w="146"/>
        <w:gridCol w:w="211"/>
        <w:gridCol w:w="781"/>
        <w:gridCol w:w="166"/>
        <w:gridCol w:w="146"/>
        <w:gridCol w:w="295"/>
        <w:gridCol w:w="591"/>
        <w:gridCol w:w="146"/>
        <w:gridCol w:w="146"/>
        <w:gridCol w:w="211"/>
        <w:gridCol w:w="736"/>
        <w:gridCol w:w="166"/>
        <w:gridCol w:w="146"/>
        <w:gridCol w:w="211"/>
        <w:gridCol w:w="781"/>
        <w:gridCol w:w="4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Collateralized Mortgage Obligations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SBA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FHLMC, FNMA and GNMA issued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securities portfolio had 33 and 34 available-for-sale securities and 28 and 28 held-to-maturity securities at March 31, 2026 and December 31, 2025, respectively. There were no available-for-sale and held-to-maturity securities sold during the three months ended March 31, 2026 and for the year ended December 31, 2025. There was one available-for-sale security in the amount of $3.0 million that matured during the three months ended March 31, 2026. There were four available-for-sale securities in the total amount of $8.3 million and three held-to-maturity securities in the total amount of $50.0 million that matured or were called during the year ended December 31, 2025. The Company did not purchase any available-for-sale securities and held-to-maturity securities during the three months ended March 31, 2026 and during the year ended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Company's gross unrealized losses and fair values of its securities, aggregated by the length of time the individual securities have been in a continuous unrealized loss position, at March 31, 2026 and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97"/>
        <w:gridCol w:w="146"/>
        <w:gridCol w:w="211"/>
        <w:gridCol w:w="676"/>
        <w:gridCol w:w="146"/>
        <w:gridCol w:w="146"/>
        <w:gridCol w:w="318"/>
        <w:gridCol w:w="568"/>
        <w:gridCol w:w="166"/>
        <w:gridCol w:w="146"/>
        <w:gridCol w:w="211"/>
        <w:gridCol w:w="781"/>
        <w:gridCol w:w="146"/>
        <w:gridCol w:w="146"/>
        <w:gridCol w:w="211"/>
        <w:gridCol w:w="736"/>
        <w:gridCol w:w="166"/>
        <w:gridCol w:w="146"/>
        <w:gridCol w:w="211"/>
        <w:gridCol w:w="781"/>
        <w:gridCol w:w="146"/>
        <w:gridCol w:w="146"/>
        <w:gridCol w:w="211"/>
        <w:gridCol w:w="736"/>
        <w:gridCol w:w="511"/>
      </w:tblGrid>
      <w:tr>
        <w:trPr/>
        <w:tc>
          <w:tcPr>
            <w:tcW w:w="2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With Gross 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(13,577</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215,535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235,012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(5,889</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97"/>
        <w:gridCol w:w="146"/>
        <w:gridCol w:w="211"/>
        <w:gridCol w:w="676"/>
        <w:gridCol w:w="146"/>
        <w:gridCol w:w="146"/>
        <w:gridCol w:w="318"/>
        <w:gridCol w:w="568"/>
        <w:gridCol w:w="166"/>
        <w:gridCol w:w="146"/>
        <w:gridCol w:w="211"/>
        <w:gridCol w:w="781"/>
        <w:gridCol w:w="146"/>
        <w:gridCol w:w="146"/>
        <w:gridCol w:w="211"/>
        <w:gridCol w:w="736"/>
        <w:gridCol w:w="166"/>
        <w:gridCol w:w="146"/>
        <w:gridCol w:w="211"/>
        <w:gridCol w:w="781"/>
        <w:gridCol w:w="146"/>
        <w:gridCol w:w="146"/>
        <w:gridCol w:w="211"/>
        <w:gridCol w:w="736"/>
        <w:gridCol w:w="511"/>
      </w:tblGrid>
      <w:tr>
        <w:trPr/>
        <w:tc>
          <w:tcPr>
            <w:tcW w:w="2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With Gross 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At March 31, 2026 and December 31, 2025, the Company had 32 and 33 available-for-sale securities and 22 and 21 held-to-maturity securities at March 31, 2026 and December 31, 2025, respectively, with gross unrealized loss positions. Management reviewed the financial condition of the entities underlying the securities at both March 31, 2026 and December 31, 2025. The unrealized losses related to the Company debt securities were issued by U.S. government-sponsored entities and agencies and corporate bonds. The Company does not believe that the debt securities that were in an unrealized loss position as of March 31, 2026 represents a credit loss impairment. The gross unrealized loss positions related to mortgage-backed securities and other obligations issued by the U.S. government agencies or U.S. government-sponsored enterprises carry the explicit and/or implicit guarantee of the U.S. government and have a long history of zero credit loss. Total gross unrealized losses were primarily attributable to changes in interest rates relative to when the investment securities were purchased and not due to the credit quality of the investment securities.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 reviewed the collectability of the corporate bonds taking into consideration of such factors as the financial condition of the issuers, reported regulatory capital ratios of the issuers, credit ratings, including ratings in effect as of the reporting date. Management believes the unrealized losses on the corporate bonds are primarily attributable to changes in the interest rates and not changes in the credit quality of the issuers of the corporate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summary of maturities of securities at March 31, 2026. Amounts are shown by contractual maturity. Because borrowers for mortgage-backed securities have the right to prepay obligations with or without prepayment penalties, at any time, these securities are included as a total within the table.</w:t>
      </w:r>
    </w:p>
    <w:p>
      <w:pPr>
        <w:pStyle w:val="TextBody"/>
        <w:bidi w:val="0"/>
        <w:jc w:val="both"/>
        <w:rPr/>
      </w:pPr>
      <w:r>
        <w:rPr/>
        <w:t> </w:t>
      </w:r>
    </w:p>
    <w:tbl>
      <w:tblPr>
        <w:tblW w:w="6914" w:type="dxa"/>
        <w:jc w:val="left"/>
        <w:tblInd w:w="0" w:type="dxa"/>
        <w:tblLayout w:type="fixed"/>
        <w:tblCellMar>
          <w:top w:w="28" w:type="dxa"/>
          <w:left w:w="28" w:type="dxa"/>
          <w:bottom w:w="28" w:type="dxa"/>
          <w:right w:w="28" w:type="dxa"/>
        </w:tblCellMar>
      </w:tblPr>
      <w:tblGrid>
        <w:gridCol w:w="3881"/>
        <w:gridCol w:w="146"/>
        <w:gridCol w:w="211"/>
        <w:gridCol w:w="781"/>
        <w:gridCol w:w="166"/>
        <w:gridCol w:w="146"/>
        <w:gridCol w:w="211"/>
        <w:gridCol w:w="781"/>
        <w:gridCol w:w="591"/>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maturing: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Three months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three months through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Amounts maturing: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Three months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three months through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More than five years through ten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March 31, 2026 and December 31, 2025, no securities were pledged as collateral for borrowing activities.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activity in the allowance for credit losses for held-to-maturity securities:</w:t>
      </w:r>
    </w:p>
    <w:p>
      <w:pPr>
        <w:pStyle w:val="TextBody"/>
        <w:bidi w:val="0"/>
        <w:jc w:val="both"/>
        <w:rPr/>
      </w:pPr>
      <w:r>
        <w:rPr/>
        <w:t> </w:t>
      </w:r>
    </w:p>
    <w:tbl>
      <w:tblPr>
        <w:tblW w:w="9080" w:type="dxa"/>
        <w:jc w:val="left"/>
        <w:tblInd w:w="0" w:type="dxa"/>
        <w:tblLayout w:type="fixed"/>
        <w:tblCellMar>
          <w:top w:w="28" w:type="dxa"/>
          <w:left w:w="28" w:type="dxa"/>
          <w:bottom w:w="28" w:type="dxa"/>
          <w:right w:w="28" w:type="dxa"/>
        </w:tblCellMar>
      </w:tblPr>
      <w:tblGrid>
        <w:gridCol w:w="5221"/>
        <w:gridCol w:w="146"/>
        <w:gridCol w:w="481"/>
        <w:gridCol w:w="959"/>
        <w:gridCol w:w="166"/>
        <w:gridCol w:w="146"/>
        <w:gridCol w:w="589"/>
        <w:gridCol w:w="1181"/>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securities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securities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and December 31, 2025, the entire allowance for credit losses on securities was allocated to corporate bonds.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Mortgage Loans Held-for-Sale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the fair value and contractual principal balance outstanding of mortgage loans held-for-sale accounted for under the fair value option:</w:t>
      </w:r>
    </w:p>
    <w:p>
      <w:pPr>
        <w:pStyle w:val="TextBody"/>
        <w:bidi w:val="0"/>
        <w:spacing w:before="360" w:after="283"/>
        <w:jc w:val="both"/>
        <w:rPr/>
      </w:pPr>
      <w:r>
        <w:rPr/>
        <w:t> </w:t>
      </w:r>
    </w:p>
    <w:tbl>
      <w:tblPr>
        <w:tblW w:w="8130" w:type="dxa"/>
        <w:jc w:val="left"/>
        <w:tblInd w:w="0" w:type="dxa"/>
        <w:tblLayout w:type="fixed"/>
        <w:tblCellMar>
          <w:top w:w="28" w:type="dxa"/>
          <w:left w:w="28" w:type="dxa"/>
          <w:bottom w:w="28" w:type="dxa"/>
          <w:right w:w="28" w:type="dxa"/>
        </w:tblCellMar>
      </w:tblPr>
      <w:tblGrid>
        <w:gridCol w:w="5266"/>
        <w:gridCol w:w="146"/>
        <w:gridCol w:w="263"/>
        <w:gridCol w:w="712"/>
        <w:gridCol w:w="146"/>
        <w:gridCol w:w="146"/>
        <w:gridCol w:w="339"/>
        <w:gridCol w:w="921"/>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held-for-sale,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held-for-sale, contractual principal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less unpaid principal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and December 31, 2025, the Company had 7 loans and 10 loans in the amount of $2.1 million and $3.4 million, respectively, that were classified as held-for-sale and accounted for under the fair value option accounting guidance for financial assets and financial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March 31, 2026 and December 31, 2025, there were no mortgage loans held for sale that were greater than 90 days past due and non-accrual with a substandard risk rating.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Loans Receivable, Net and Allowance for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Loans receivable, net at March 31, 2026 and December 31, 2025 are summarized as follows:</w:t>
      </w:r>
    </w:p>
    <w:p>
      <w:pPr>
        <w:pStyle w:val="TextBody"/>
        <w:bidi w:val="0"/>
        <w:jc w:val="both"/>
        <w:rPr/>
      </w:pPr>
      <w:r>
        <w:rPr/>
        <w:t> </w:t>
      </w:r>
    </w:p>
    <w:tbl>
      <w:tblPr>
        <w:tblW w:w="5969" w:type="dxa"/>
        <w:jc w:val="left"/>
        <w:tblInd w:w="0" w:type="dxa"/>
        <w:tblLayout w:type="fixed"/>
        <w:tblCellMar>
          <w:top w:w="28" w:type="dxa"/>
          <w:left w:w="28" w:type="dxa"/>
          <w:bottom w:w="28" w:type="dxa"/>
          <w:right w:w="28" w:type="dxa"/>
        </w:tblCellMar>
      </w:tblPr>
      <w:tblGrid>
        <w:gridCol w:w="2836"/>
        <w:gridCol w:w="146"/>
        <w:gridCol w:w="211"/>
        <w:gridCol w:w="931"/>
        <w:gridCol w:w="166"/>
        <w:gridCol w:w="146"/>
        <w:gridCol w:w="211"/>
        <w:gridCol w:w="931"/>
        <w:gridCol w:w="3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1-4 Family residential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loans,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Includes both investor owned and owner occupied 1-4 family residential properties combined, which were previously reported separately.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lending activities are conducted principally in metropolitan New York City. The Company primarily grants loans secured by real estate to individuals and businesses pursuant to an established credit policy applicable to each type of lending activity in which it engages. Although collateral provides assurance as a secondary source of repayment, the Company ordinarily requires the primary source of repayment to be based on the borrowers’ ability to generate continuing cash flows. The Company also evaluates the collateral and creditworthiness of each customer. The credit policy provides that depending on the borrowers’ creditworthiness and type of collateral, credit may be extended up to predetermined percentages of the market value of the collateral or on an unsecured basis. Real estate is the primary form of collateral. Other important forms of collateral are time deposits and 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disclosures related to the allowance for credit losses and credit quality, the Company does not have any disaggregated classes of loans below the segment level.</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Credit-Quality Indicators</w:t>
      </w:r>
      <w:r>
        <w:rPr>
          <w:rFonts w:ascii="Times New Roman" w:hAnsi="Times New Roman"/>
          <w:color w:val="000000"/>
          <w:sz w:val="20"/>
        </w:rPr>
        <w:t>: Internally assigned risk ratings are used as credit-quality indicators, which are reviewed by management on a quarterly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objectives of the Company’s risk-rating system are to provide the Board of Directors and senior management with an objective assessment of the overall quality of the loan portfolio, to promptly and accurately identify loans with well-defined credit weaknesses so that timely action can be taken to minimize credit loss, to identify relevant trends affecting the collectability of the loan portfolio, to isolate potential problem areas and to provide essential information for determining the adequacy of the allowance for credit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are the definitions of the internally assigned risk ratings: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Strong Pass</w:t>
      </w:r>
      <w:r>
        <w:rPr>
          <w:color w:val="000000"/>
        </w:rPr>
        <w:t xml:space="preserve"> – </w:t>
      </w:r>
      <w:r>
        <w:rPr>
          <w:rFonts w:ascii="Times New Roman" w:hAnsi="Times New Roman"/>
          <w:color w:val="000000"/>
          <w:sz w:val="20"/>
        </w:rPr>
        <w:t>Loans to a new or existing borrower collateralized at least 90</w:t>
      </w:r>
      <w:r>
        <w:rPr>
          <w:color w:val="000000"/>
        </w:rPr>
        <w:t xml:space="preserve"> </w:t>
      </w:r>
      <w:r>
        <w:rPr>
          <w:rFonts w:ascii="Times New Roman" w:hAnsi="Times New Roman"/>
          <w:color w:val="000000"/>
          <w:sz w:val="20"/>
        </w:rPr>
        <w:t xml:space="preserve">percent by an unimpaired deposit account at the Company.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Good Pass</w:t>
      </w:r>
      <w:r>
        <w:rPr>
          <w:color w:val="000000"/>
        </w:rPr>
        <w:t xml:space="preserve"> – </w:t>
      </w:r>
      <w:r>
        <w:rPr>
          <w:rFonts w:ascii="Times New Roman" w:hAnsi="Times New Roman"/>
          <w:color w:val="000000"/>
          <w:sz w:val="20"/>
        </w:rPr>
        <w:t xml:space="preserve">Loans to a new or existing borrower in a well-established enterprise in excellent financial condition with strong liquidity and a history of consistently high level of earnings, cash flow and debt service capacity.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Satisfactory Pass</w:t>
      </w:r>
      <w:r>
        <w:rPr>
          <w:color w:val="000000"/>
        </w:rPr>
        <w:t xml:space="preserve"> – </w:t>
      </w:r>
      <w:r>
        <w:rPr>
          <w:rFonts w:ascii="Times New Roman" w:hAnsi="Times New Roman"/>
          <w:color w:val="000000"/>
          <w:sz w:val="20"/>
        </w:rPr>
        <w:t xml:space="preserve">Loans to a new or existing borrower of average strength with acceptable financial condition, satisfactory record of earnings and sufficient historical and projected cash flow to service the debt.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 xml:space="preserve">Performance Pass </w:t>
      </w:r>
      <w:r>
        <w:rPr>
          <w:color w:val="000000"/>
        </w:rPr>
        <w:t xml:space="preserve">– </w:t>
      </w:r>
      <w:r>
        <w:rPr>
          <w:rFonts w:ascii="Times New Roman" w:hAnsi="Times New Roman"/>
          <w:color w:val="000000"/>
          <w:sz w:val="20"/>
        </w:rPr>
        <w:t xml:space="preserve">Existing loans that evidence strong payment history but document less than average strength, financial condition, record of earnings, or projected cash flows with which to service the debt.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Special Mention</w:t>
      </w:r>
      <w:r>
        <w:rPr>
          <w:color w:val="000000"/>
        </w:rPr>
        <w:t xml:space="preserve"> – </w:t>
      </w:r>
      <w:r>
        <w:rPr>
          <w:rFonts w:ascii="Times New Roman" w:hAnsi="Times New Roman"/>
          <w:color w:val="000000"/>
          <w:sz w:val="20"/>
        </w:rPr>
        <w:t xml:space="preserve">Loans in this category are currently protected but show one or more potential weaknesses and risks which may inadequately protect collectability or borrower’s ability to meet repayment terms at some future date if the weakness or weaknesses are not monitored or remediated.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Substandard</w:t>
      </w:r>
      <w:r>
        <w:rPr>
          <w:color w:val="000000"/>
        </w:rPr>
        <w:t xml:space="preserve"> – </w:t>
      </w:r>
      <w:r>
        <w:rPr>
          <w:rFonts w:ascii="Times New Roman" w:hAnsi="Times New Roman"/>
          <w:color w:val="000000"/>
          <w:sz w:val="20"/>
        </w:rPr>
        <w:t xml:space="preserve">Loans that are inadequately protected by the repayment capacity of the borrower or the current sound net worth of the collateral pledged, if any. Loans in this category have well defined weaknesses and risks that jeopardize the repayment. They are characterized by the distinct possibility that some loss may be sustained if the deficiencies are not remediated.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u w:val="single"/>
        </w:rPr>
        <w:t>Doubtful</w:t>
      </w:r>
      <w:r>
        <w:rPr>
          <w:color w:val="000000"/>
        </w:rPr>
        <w:t xml:space="preserve"> – </w:t>
      </w:r>
      <w:r>
        <w:rPr>
          <w:rFonts w:ascii="Times New Roman" w:hAnsi="Times New Roman"/>
          <w:color w:val="000000"/>
          <w:sz w:val="20"/>
        </w:rPr>
        <w:t xml:space="preserve">Loans that have all the weaknesses of loans classified as “Substandard” with the added characteristics that the weaknesses make collection or liquidation in full, on the basis of current existing facts, conditions, and values, highly questionable and improbable.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Loans within the top four categories above are considered pass rated, as commonly defined. Risk ratings are assigned as necessary to differentiate risk within the portfolio. Risk ratings are reviewed on an ongoing basis and revised to reflect changes in the borrowers’ financial condition and outlook, debt service coverage capability, repayment performance, collateral value and coverage as well as other considerations.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total loans by year of origination and internally assigned credit risk ratings:</w:t>
      </w:r>
    </w:p>
    <w:p>
      <w:pPr>
        <w:pStyle w:val="TextBody"/>
        <w:bidi w:val="0"/>
        <w:jc w:val="both"/>
        <w:rPr/>
      </w:pPr>
      <w:r>
        <w:rPr/>
        <w:t> </w:t>
      </w:r>
    </w:p>
    <w:p>
      <w:pPr>
        <w:pStyle w:val="TextBody"/>
        <w:bidi w:val="0"/>
        <w:jc w:val="both"/>
        <w:rPr/>
      </w:pPr>
      <w:r>
        <w:rPr/>
        <w:t> </w:t>
      </w:r>
    </w:p>
    <w:tbl>
      <w:tblPr>
        <w:tblW w:w="10389" w:type="dxa"/>
        <w:jc w:val="left"/>
        <w:tblInd w:w="0" w:type="dxa"/>
        <w:tblLayout w:type="fixed"/>
        <w:tblCellMar>
          <w:top w:w="28" w:type="dxa"/>
          <w:left w:w="28" w:type="dxa"/>
          <w:bottom w:w="28" w:type="dxa"/>
          <w:right w:w="28" w:type="dxa"/>
        </w:tblCellMar>
      </w:tblPr>
      <w:tblGrid>
        <w:gridCol w:w="155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826"/>
        <w:gridCol w:w="5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900,278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532,898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749,005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loans,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2,725,918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389" w:type="dxa"/>
        <w:jc w:val="left"/>
        <w:tblInd w:w="0" w:type="dxa"/>
        <w:tblLayout w:type="fixed"/>
        <w:tblCellMar>
          <w:top w:w="28" w:type="dxa"/>
          <w:left w:w="28" w:type="dxa"/>
          <w:bottom w:w="28" w:type="dxa"/>
          <w:right w:w="28" w:type="dxa"/>
        </w:tblCellMar>
      </w:tblPr>
      <w:tblGrid>
        <w:gridCol w:w="155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691"/>
        <w:gridCol w:w="146"/>
        <w:gridCol w:w="146"/>
        <w:gridCol w:w="196"/>
        <w:gridCol w:w="826"/>
        <w:gridCol w:w="5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424,043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732,158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838,009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279,271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2,571,222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Special mention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Substandard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loans,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522,399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aging analysis of loans, as of March 31, 2026 and December 31, 2025,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71"/>
        <w:gridCol w:w="146"/>
        <w:gridCol w:w="196"/>
        <w:gridCol w:w="826"/>
        <w:gridCol w:w="146"/>
        <w:gridCol w:w="146"/>
        <w:gridCol w:w="196"/>
        <w:gridCol w:w="601"/>
        <w:gridCol w:w="146"/>
        <w:gridCol w:w="146"/>
        <w:gridCol w:w="237"/>
        <w:gridCol w:w="456"/>
        <w:gridCol w:w="146"/>
        <w:gridCol w:w="146"/>
        <w:gridCol w:w="196"/>
        <w:gridCol w:w="601"/>
        <w:gridCol w:w="146"/>
        <w:gridCol w:w="146"/>
        <w:gridCol w:w="196"/>
        <w:gridCol w:w="826"/>
        <w:gridCol w:w="146"/>
        <w:gridCol w:w="146"/>
        <w:gridCol w:w="232"/>
        <w:gridCol w:w="714"/>
        <w:gridCol w:w="146"/>
        <w:gridCol w:w="146"/>
        <w:gridCol w:w="277"/>
        <w:gridCol w:w="489"/>
        <w:gridCol w:w="393"/>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Accruing</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5"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2,692,146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31"/>
        <w:gridCol w:w="146"/>
        <w:gridCol w:w="196"/>
        <w:gridCol w:w="826"/>
        <w:gridCol w:w="146"/>
        <w:gridCol w:w="146"/>
        <w:gridCol w:w="196"/>
        <w:gridCol w:w="601"/>
        <w:gridCol w:w="146"/>
        <w:gridCol w:w="146"/>
        <w:gridCol w:w="203"/>
        <w:gridCol w:w="530"/>
        <w:gridCol w:w="146"/>
        <w:gridCol w:w="146"/>
        <w:gridCol w:w="196"/>
        <w:gridCol w:w="601"/>
        <w:gridCol w:w="146"/>
        <w:gridCol w:w="146"/>
        <w:gridCol w:w="196"/>
        <w:gridCol w:w="826"/>
        <w:gridCol w:w="146"/>
        <w:gridCol w:w="146"/>
        <w:gridCol w:w="232"/>
        <w:gridCol w:w="714"/>
        <w:gridCol w:w="146"/>
        <w:gridCol w:w="146"/>
        <w:gridCol w:w="277"/>
        <w:gridCol w:w="489"/>
        <w:gridCol w:w="393"/>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90 Days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More</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Accruing</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5"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2,584,011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schedules detail the composition of the allowance for credit losses on loans and the related recorded investment in loans as of and for the three months ended March 31, 2026 and 2025, and as of and for the year 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96"/>
        <w:gridCol w:w="691"/>
        <w:gridCol w:w="146"/>
        <w:gridCol w:w="146"/>
        <w:gridCol w:w="196"/>
        <w:gridCol w:w="691"/>
        <w:gridCol w:w="166"/>
        <w:gridCol w:w="146"/>
        <w:gridCol w:w="218"/>
        <w:gridCol w:w="773"/>
        <w:gridCol w:w="146"/>
        <w:gridCol w:w="146"/>
        <w:gridCol w:w="196"/>
        <w:gridCol w:w="691"/>
        <w:gridCol w:w="166"/>
        <w:gridCol w:w="146"/>
        <w:gridCol w:w="196"/>
        <w:gridCol w:w="601"/>
        <w:gridCol w:w="166"/>
        <w:gridCol w:w="146"/>
        <w:gridCol w:w="241"/>
        <w:gridCol w:w="465"/>
        <w:gridCol w:w="166"/>
        <w:gridCol w:w="146"/>
        <w:gridCol w:w="196"/>
        <w:gridCol w:w="826"/>
        <w:gridCol w:w="411"/>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 2026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w:t>
              <w:br/>
              <w:t>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w:t>
              <w:br/>
              <w:t>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individually </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collectively </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2,705,567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2,725,918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96"/>
        <w:gridCol w:w="691"/>
        <w:gridCol w:w="166"/>
        <w:gridCol w:w="146"/>
        <w:gridCol w:w="196"/>
        <w:gridCol w:w="691"/>
        <w:gridCol w:w="146"/>
        <w:gridCol w:w="146"/>
        <w:gridCol w:w="218"/>
        <w:gridCol w:w="773"/>
        <w:gridCol w:w="146"/>
        <w:gridCol w:w="146"/>
        <w:gridCol w:w="196"/>
        <w:gridCol w:w="691"/>
        <w:gridCol w:w="166"/>
        <w:gridCol w:w="146"/>
        <w:gridCol w:w="196"/>
        <w:gridCol w:w="601"/>
        <w:gridCol w:w="166"/>
        <w:gridCol w:w="146"/>
        <w:gridCol w:w="241"/>
        <w:gridCol w:w="465"/>
        <w:gridCol w:w="166"/>
        <w:gridCol w:w="146"/>
        <w:gridCol w:w="196"/>
        <w:gridCol w:w="826"/>
        <w:gridCol w:w="411"/>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w:t>
              <w:br/>
              <w:t>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individually </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Ending balance: collectively </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460,636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2,369,592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2,392,515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39"/>
        <w:gridCol w:w="146"/>
        <w:gridCol w:w="196"/>
        <w:gridCol w:w="691"/>
        <w:gridCol w:w="166"/>
        <w:gridCol w:w="146"/>
        <w:gridCol w:w="196"/>
        <w:gridCol w:w="691"/>
        <w:gridCol w:w="146"/>
        <w:gridCol w:w="146"/>
        <w:gridCol w:w="218"/>
        <w:gridCol w:w="773"/>
        <w:gridCol w:w="146"/>
        <w:gridCol w:w="146"/>
        <w:gridCol w:w="196"/>
        <w:gridCol w:w="691"/>
        <w:gridCol w:w="166"/>
        <w:gridCol w:w="146"/>
        <w:gridCol w:w="196"/>
        <w:gridCol w:w="601"/>
        <w:gridCol w:w="166"/>
        <w:gridCol w:w="146"/>
        <w:gridCol w:w="241"/>
        <w:gridCol w:w="465"/>
        <w:gridCol w:w="166"/>
        <w:gridCol w:w="146"/>
        <w:gridCol w:w="196"/>
        <w:gridCol w:w="826"/>
        <w:gridCol w:w="411"/>
      </w:tblGrid>
      <w:tr>
        <w:trPr/>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Year Ended December 31,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Nonmortgage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1-4 </w:t>
              <w:br/>
              <w:t xml:space="preserve">Family </w:t>
              <w:br/>
              <w:t>Residential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Multifamily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Nonresidential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Construction</w:t>
              <w:br/>
              <w:t>and Land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Consumer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w:t>
              <w:br/>
              <w:t>Period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9"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Allowance for loan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(Benefit) provision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Balance,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individually</w:t>
              <w:br/>
              <w:t>   evaluated for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collectively</w:t>
              <w:br/>
              <w:t>   evaluated for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2,598,047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756,542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gross charge-offs by vintage: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35"/>
        <w:gridCol w:w="146"/>
        <w:gridCol w:w="196"/>
        <w:gridCol w:w="346"/>
        <w:gridCol w:w="146"/>
        <w:gridCol w:w="146"/>
        <w:gridCol w:w="196"/>
        <w:gridCol w:w="346"/>
        <w:gridCol w:w="146"/>
        <w:gridCol w:w="146"/>
        <w:gridCol w:w="196"/>
        <w:gridCol w:w="376"/>
        <w:gridCol w:w="146"/>
        <w:gridCol w:w="146"/>
        <w:gridCol w:w="196"/>
        <w:gridCol w:w="376"/>
        <w:gridCol w:w="146"/>
        <w:gridCol w:w="146"/>
        <w:gridCol w:w="196"/>
        <w:gridCol w:w="286"/>
        <w:gridCol w:w="146"/>
        <w:gridCol w:w="146"/>
        <w:gridCol w:w="433"/>
        <w:gridCol w:w="765"/>
        <w:gridCol w:w="146"/>
        <w:gridCol w:w="146"/>
        <w:gridCol w:w="196"/>
        <w:gridCol w:w="376"/>
        <w:gridCol w:w="392"/>
      </w:tblGrid>
      <w:tr>
        <w:trPr/>
        <w:tc>
          <w:tcPr>
            <w:tcW w:w="3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12"/>
        <w:gridCol w:w="146"/>
        <w:gridCol w:w="196"/>
        <w:gridCol w:w="346"/>
        <w:gridCol w:w="146"/>
        <w:gridCol w:w="146"/>
        <w:gridCol w:w="196"/>
        <w:gridCol w:w="376"/>
        <w:gridCol w:w="146"/>
        <w:gridCol w:w="146"/>
        <w:gridCol w:w="196"/>
        <w:gridCol w:w="346"/>
        <w:gridCol w:w="146"/>
        <w:gridCol w:w="146"/>
        <w:gridCol w:w="196"/>
        <w:gridCol w:w="346"/>
        <w:gridCol w:w="146"/>
        <w:gridCol w:w="146"/>
        <w:gridCol w:w="196"/>
        <w:gridCol w:w="346"/>
        <w:gridCol w:w="146"/>
        <w:gridCol w:w="146"/>
        <w:gridCol w:w="430"/>
        <w:gridCol w:w="760"/>
        <w:gridCol w:w="146"/>
        <w:gridCol w:w="146"/>
        <w:gridCol w:w="196"/>
        <w:gridCol w:w="376"/>
        <w:gridCol w:w="393"/>
      </w:tblGrid>
      <w:tr>
        <w:trPr/>
        <w:tc>
          <w:tcPr>
            <w:tcW w:w="3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2020 and Prior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Loans are considered non-accrual when current information and events indicate all amounts due may not be collectable according to the contractual terms of the related loan agreements. Non-accrual loans are identified by applying normal loan review procedures in accordance with the allowance for credit losses methodology. Management periodically assesses loans to determine whether impairment exists. Any loan that is, or will potentially be, no longer performing in accordance with the terms of the original loan contract is evaluated to determine impairment.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information relates to non-accrual loans as of and for the three months ended March 31, 2026 and 2025 and as of and for the year ended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31"/>
        <w:gridCol w:w="146"/>
        <w:gridCol w:w="235"/>
        <w:gridCol w:w="756"/>
        <w:gridCol w:w="146"/>
        <w:gridCol w:w="146"/>
        <w:gridCol w:w="214"/>
        <w:gridCol w:w="687"/>
        <w:gridCol w:w="146"/>
        <w:gridCol w:w="146"/>
        <w:gridCol w:w="300"/>
        <w:gridCol w:w="601"/>
        <w:gridCol w:w="146"/>
        <w:gridCol w:w="146"/>
        <w:gridCol w:w="214"/>
        <w:gridCol w:w="687"/>
        <w:gridCol w:w="146"/>
        <w:gridCol w:w="146"/>
        <w:gridCol w:w="284"/>
        <w:gridCol w:w="572"/>
        <w:gridCol w:w="146"/>
        <w:gridCol w:w="146"/>
        <w:gridCol w:w="214"/>
        <w:gridCol w:w="687"/>
        <w:gridCol w:w="146"/>
        <w:gridCol w:w="146"/>
        <w:gridCol w:w="465"/>
        <w:gridCol w:w="468"/>
        <w:gridCol w:w="392"/>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color w:val="000000"/>
                <w:u w:val="single"/>
              </w:rPr>
            </w:pPr>
            <w:r>
              <w:rPr>
                <w:color w:val="000000"/>
                <w:u w:val="single"/>
              </w:rPr>
              <w:t> </w:t>
            </w:r>
            <w:r>
              <w:rPr>
                <w:rFonts w:ascii="Times New Roman" w:hAnsi="Times New Roman"/>
                <w:b/>
                <w:color w:val="000000"/>
                <w:sz w:val="16"/>
                <w:u w:val="single"/>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36"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30"/>
        <w:gridCol w:w="146"/>
        <w:gridCol w:w="235"/>
        <w:gridCol w:w="756"/>
        <w:gridCol w:w="146"/>
        <w:gridCol w:w="146"/>
        <w:gridCol w:w="214"/>
        <w:gridCol w:w="687"/>
        <w:gridCol w:w="146"/>
        <w:gridCol w:w="146"/>
        <w:gridCol w:w="300"/>
        <w:gridCol w:w="601"/>
        <w:gridCol w:w="146"/>
        <w:gridCol w:w="146"/>
        <w:gridCol w:w="214"/>
        <w:gridCol w:w="687"/>
        <w:gridCol w:w="146"/>
        <w:gridCol w:w="146"/>
        <w:gridCol w:w="284"/>
        <w:gridCol w:w="572"/>
        <w:gridCol w:w="146"/>
        <w:gridCol w:w="146"/>
        <w:gridCol w:w="214"/>
        <w:gridCol w:w="687"/>
        <w:gridCol w:w="146"/>
        <w:gridCol w:w="146"/>
        <w:gridCol w:w="409"/>
        <w:gridCol w:w="525"/>
        <w:gridCol w:w="392"/>
      </w:tblGrid>
      <w:tr>
        <w:trPr/>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Unpaid</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b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As of and for the Year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Recognized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a Cash Basis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7" w:type="dxa"/>
            <w:gridSpan w:val="2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Collateral Dependent Loans</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 loan is considered collateral dependent when the borrower is experiencing financial difficulty and repayment is expected to be provided substantially through the operation or sale of the collateral.</w:t>
      </w:r>
    </w:p>
    <w:p>
      <w:pPr>
        <w:pStyle w:val="TextBody"/>
        <w:bidi w:val="0"/>
        <w:jc w:val="left"/>
        <w:rPr>
          <w:rFonts w:ascii="Times New Roman" w:hAnsi="Times New Roman"/>
          <w:color w:val="000000"/>
          <w:sz w:val="20"/>
        </w:rPr>
      </w:pPr>
      <w:r>
        <w:rPr>
          <w:rFonts w:ascii="Times New Roman" w:hAnsi="Times New Roman"/>
          <w:color w:val="000000"/>
          <w:sz w:val="20"/>
        </w:rPr>
        <w:t>The Company had collateral dependent loans which were individually evaluated to determine expected credit losses as of the dates indicated.</w:t>
      </w:r>
    </w:p>
    <w:p>
      <w:pPr>
        <w:pStyle w:val="TextBody"/>
        <w:bidi w:val="0"/>
        <w:jc w:val="left"/>
        <w:rPr/>
      </w:pPr>
      <w:r>
        <w:rPr/>
        <w:t> </w:t>
      </w:r>
    </w:p>
    <w:tbl>
      <w:tblPr>
        <w:tblW w:w="7571" w:type="dxa"/>
        <w:jc w:val="left"/>
        <w:tblInd w:w="0" w:type="dxa"/>
        <w:tblLayout w:type="fixed"/>
        <w:tblCellMar>
          <w:top w:w="28" w:type="dxa"/>
          <w:left w:w="28" w:type="dxa"/>
          <w:bottom w:w="28" w:type="dxa"/>
          <w:right w:w="28" w:type="dxa"/>
        </w:tblCellMar>
      </w:tblPr>
      <w:tblGrid>
        <w:gridCol w:w="1926"/>
        <w:gridCol w:w="146"/>
        <w:gridCol w:w="232"/>
        <w:gridCol w:w="714"/>
        <w:gridCol w:w="146"/>
        <w:gridCol w:w="146"/>
        <w:gridCol w:w="422"/>
        <w:gridCol w:w="748"/>
        <w:gridCol w:w="146"/>
        <w:gridCol w:w="146"/>
        <w:gridCol w:w="232"/>
        <w:gridCol w:w="714"/>
        <w:gridCol w:w="146"/>
        <w:gridCol w:w="146"/>
        <w:gridCol w:w="422"/>
        <w:gridCol w:w="748"/>
        <w:gridCol w:w="39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Associated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Associated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Allowance for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Loan Modifications to Borrowers Experiencing Financial Difficulty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adopted Accounting Standards Update (“ASU”) 2022-02 on January 1, 2023. Since adoption, the Company has modified one loan with borrowers experiencing financial difficulty. These modifications may include a reduction in interest rate, an extension in term, principal forgiveness and/or other than insignificant payment delay. At March 31, 2026 and December 31, 2025, there was one loan in the amount of $0.2 million with modifications to a borrower experiencing financial difficulty.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Prior to the adoption of ASU 2022-02 on January 1, 2023, the Company classified certain loans as troubled debt restructuring (“TDR”) loans when credit terms to a borrower in financial difficulty were modified, in accordance with ASC 310-40. With the adoption of ASU 2022-02 as of January 1, 2023, the Company has ceased to recognize or measure for new TDRs but those existing at December 31, 2022 will remain until settled.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March 31, 2026 and December 31, 2025, there were 14 and 14 troubled debt restructured loans totaling $3.6 million and $3.6 million, respectively, of which $3.3 million and $3.2 million are on accrual status at March 31, 2026 and December 31, 2025, respectively. There were no commitments to lend additional funds to borrowers whose loans have been modified in a troubled debt restructuring.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Credit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included within the scope of the CECL standard are off-balance sheet loan commitments, which includes the unfunded portion of committed lines of credit and construction loans.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estimates expected credit losses over the contractual period in which the company is exposed to credit risk through a contractual obligation to extend credit, unless that obligation is unconditionally cancellable by the Company. The allowance for credit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losses on off-balance sheet exposures is adjusted as a provision for credit loss expense. The Company uses similar assumptions and risk factors that are developed for collectively evaluated financing receivables. This estimate includes consideration of the likelihood that funding will occur and an estimate of expected credit losses on commitments to be funded over its estimated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March 31, 2026 and December 31, 2025, the allowance for off-balance sheet credit losses was $2.5 million and $2.1 million, respectively, which is included in the "Other liabilities" on the Consolidated Statements of Financial Condition. During the three months ended March 31, 2026 and 2025, the Company had $0.4 million charged for the provision for credit losses and $1.0 million in benefit for credit losses, for off-balance items, which are included in "Provision (benefit) for contingencies" in the Consolidated Statements of Operations.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Leases</w:t>
      </w:r>
    </w:p>
    <w:p>
      <w:pPr>
        <w:pStyle w:val="TextBody"/>
        <w:bidi w:val="0"/>
        <w:jc w:val="both"/>
        <w:rPr>
          <w:rFonts w:ascii="Times New Roman" w:hAnsi="Times New Roman"/>
          <w:color w:val="000000"/>
          <w:sz w:val="20"/>
        </w:rPr>
      </w:pPr>
      <w:r>
        <w:rPr>
          <w:rFonts w:ascii="Times New Roman" w:hAnsi="Times New Roman"/>
          <w:color w:val="000000"/>
          <w:sz w:val="20"/>
        </w:rPr>
        <w:t>The Company has 16 operating leases for branches and office spaces (including headquarters) and six operating leases for equipment at both March 31, 2026 and December 31, 2025. Our leases have remaining lease terms ranging from less than one year to approximately 13.8 years, none of which has a renewal option reasonably certain of exercise, which has been reflected in the Company’s calculation of lease term. Certain leases have escalation clauses for operating expenses and real estate taxes. The Company’s non-cancelable operating lease agreements expire through February of 2040.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balance sheet information related to leases was as follows:</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4696"/>
        <w:gridCol w:w="146"/>
        <w:gridCol w:w="232"/>
        <w:gridCol w:w="743"/>
        <w:gridCol w:w="271"/>
        <w:gridCol w:w="146"/>
        <w:gridCol w:w="299"/>
        <w:gridCol w:w="961"/>
        <w:gridCol w:w="31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 in thousands)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expense and cash flow information related to leases were as follows:</w:t>
      </w:r>
    </w:p>
    <w:p>
      <w:pPr>
        <w:pStyle w:val="TextBody"/>
        <w:bidi w:val="0"/>
        <w:jc w:val="left"/>
        <w:rPr/>
      </w:pPr>
      <w:r>
        <w:rPr/>
        <w:t> </w:t>
      </w:r>
    </w:p>
    <w:tbl>
      <w:tblPr>
        <w:tblW w:w="7013" w:type="dxa"/>
        <w:jc w:val="left"/>
        <w:tblInd w:w="0" w:type="dxa"/>
        <w:tblLayout w:type="fixed"/>
        <w:tblCellMar>
          <w:top w:w="28" w:type="dxa"/>
          <w:left w:w="28" w:type="dxa"/>
          <w:bottom w:w="28" w:type="dxa"/>
          <w:right w:w="28" w:type="dxa"/>
        </w:tblCellMar>
      </w:tblPr>
      <w:tblGrid>
        <w:gridCol w:w="2001"/>
        <w:gridCol w:w="346"/>
        <w:gridCol w:w="2281"/>
        <w:gridCol w:w="146"/>
        <w:gridCol w:w="221"/>
        <w:gridCol w:w="600"/>
        <w:gridCol w:w="153"/>
        <w:gridCol w:w="153"/>
        <w:gridCol w:w="221"/>
        <w:gridCol w:w="600"/>
        <w:gridCol w:w="291"/>
      </w:tblGrid>
      <w:tr>
        <w:trPr/>
        <w:tc>
          <w:tcPr>
            <w:tcW w:w="2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(Dollars 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minimum annual rental payments under the terms of the leases are as follows at March 31, 2026:</w:t>
      </w:r>
    </w:p>
    <w:p>
      <w:pPr>
        <w:pStyle w:val="TextBody"/>
        <w:bidi w:val="0"/>
        <w:jc w:val="left"/>
        <w:rPr/>
      </w:pPr>
      <w:r>
        <w:rPr/>
        <w:t> </w:t>
      </w:r>
    </w:p>
    <w:tbl>
      <w:tblPr>
        <w:tblW w:w="4913" w:type="dxa"/>
        <w:jc w:val="left"/>
        <w:tblInd w:w="0" w:type="dxa"/>
        <w:tblLayout w:type="fixed"/>
        <w:tblCellMar>
          <w:top w:w="28" w:type="dxa"/>
          <w:left w:w="28" w:type="dxa"/>
          <w:bottom w:w="28" w:type="dxa"/>
          <w:right w:w="28" w:type="dxa"/>
        </w:tblCellMar>
      </w:tblPr>
      <w:tblGrid>
        <w:gridCol w:w="3056"/>
        <w:gridCol w:w="146"/>
        <w:gridCol w:w="314"/>
        <w:gridCol w:w="1006"/>
        <w:gridCol w:w="39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Rental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Minimum payments required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implied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Deposits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Deposits at March 31, 2026 and December 31, 2025 are summarized as follows:</w:t>
      </w:r>
    </w:p>
    <w:p>
      <w:pPr>
        <w:pStyle w:val="TextBody"/>
        <w:bidi w:val="0"/>
        <w:jc w:val="both"/>
        <w:rPr/>
      </w:pPr>
      <w:r>
        <w:rPr/>
        <w:t> </w:t>
      </w:r>
    </w:p>
    <w:tbl>
      <w:tblPr>
        <w:tblW w:w="8154" w:type="dxa"/>
        <w:jc w:val="left"/>
        <w:tblInd w:w="0" w:type="dxa"/>
        <w:tblLayout w:type="fixed"/>
        <w:tblCellMar>
          <w:top w:w="28" w:type="dxa"/>
          <w:left w:w="28" w:type="dxa"/>
          <w:bottom w:w="28" w:type="dxa"/>
          <w:right w:w="28" w:type="dxa"/>
        </w:tblCellMar>
      </w:tblPr>
      <w:tblGrid>
        <w:gridCol w:w="4841"/>
        <w:gridCol w:w="146"/>
        <w:gridCol w:w="211"/>
        <w:gridCol w:w="931"/>
        <w:gridCol w:w="146"/>
        <w:gridCol w:w="146"/>
        <w:gridCol w:w="211"/>
        <w:gridCol w:w="931"/>
        <w:gridCol w:w="591"/>
      </w:tblGrid>
      <w:tr>
        <w:trPr/>
        <w:tc>
          <w:tcPr>
            <w:tcW w:w="4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NOW/IOLA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Money market accounts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Reciprocal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Savings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NOW, money market, reciprocal and 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 of $250K 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Brokered certificates of deposits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Listing service deposits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Certificates of deposit less than $250K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1,838,385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2,046,635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8"/>
        </w:rPr>
        <w:t>At March 31, 2026</w:t>
      </w:r>
      <w:r>
        <w:rPr>
          <w:rFonts w:ascii="Times New Roman" w:hAnsi="Times New Roman"/>
          <w:color w:val="000000"/>
          <w:sz w:val="20"/>
        </w:rPr>
        <w:t xml:space="preserve"> </w:t>
      </w:r>
      <w:r>
        <w:rPr>
          <w:rFonts w:ascii="Times New Roman" w:hAnsi="Times New Roman"/>
          <w:color w:val="000000"/>
          <w:sz w:val="18"/>
        </w:rPr>
        <w:t>and December 31, 2025, there were $0.3</w:t>
      </w:r>
      <w:r>
        <w:rPr>
          <w:rFonts w:ascii="Times New Roman" w:hAnsi="Times New Roman"/>
          <w:color w:val="000000"/>
          <w:sz w:val="20"/>
        </w:rPr>
        <w:t xml:space="preserve"> </w:t>
      </w:r>
      <w:r>
        <w:rPr>
          <w:rFonts w:ascii="Times New Roman" w:hAnsi="Times New Roman"/>
          <w:color w:val="000000"/>
          <w:sz w:val="18"/>
        </w:rPr>
        <w:t>million each in brokered deposits.</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80" w:after="283"/>
        <w:jc w:val="both"/>
        <w:rPr>
          <w:rFonts w:ascii="Times New Roman" w:hAnsi="Times New Roman"/>
          <w:sz w:val="20"/>
        </w:rPr>
      </w:pPr>
      <w:r>
        <w:rPr>
          <w:rFonts w:ascii="Times New Roman" w:hAnsi="Times New Roman"/>
          <w:color w:val="000000"/>
          <w:sz w:val="18"/>
        </w:rPr>
        <w:t>At March 31, 2026</w:t>
      </w:r>
      <w:r>
        <w:rPr>
          <w:rFonts w:ascii="Times New Roman" w:hAnsi="Times New Roman"/>
          <w:color w:val="000000"/>
          <w:sz w:val="20"/>
        </w:rPr>
        <w:t xml:space="preserve"> </w:t>
      </w:r>
      <w:r>
        <w:rPr>
          <w:rFonts w:ascii="Times New Roman" w:hAnsi="Times New Roman"/>
          <w:color w:val="000000"/>
          <w:sz w:val="18"/>
        </w:rPr>
        <w:t>and December 31, 2025, there were no</w:t>
      </w:r>
      <w:r>
        <w:rPr>
          <w:rFonts w:ascii="Times New Roman" w:hAnsi="Times New Roman"/>
          <w:color w:val="000000"/>
          <w:sz w:val="20"/>
        </w:rPr>
        <w:t xml:space="preserve"> </w:t>
      </w:r>
      <w:r>
        <w:rPr>
          <w:rFonts w:ascii="Times New Roman" w:hAnsi="Times New Roman"/>
          <w:color w:val="000000"/>
          <w:sz w:val="18"/>
        </w:rPr>
        <w:t>individual listing service deposits amounting to $250,000</w:t>
      </w:r>
      <w:r>
        <w:rPr>
          <w:rFonts w:ascii="Times New Roman" w:hAnsi="Times New Roman"/>
          <w:color w:val="000000"/>
          <w:sz w:val="20"/>
        </w:rPr>
        <w:t xml:space="preserve"> </w:t>
      </w:r>
      <w:r>
        <w:rPr>
          <w:rFonts w:ascii="Times New Roman" w:hAnsi="Times New Roman"/>
          <w:color w:val="000000"/>
          <w:sz w:val="18"/>
        </w:rPr>
        <w:t>or more. All other brokered certificates of deposit individually amounted to less than $250,000.</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scheduled maturities of certificates of deposit were as follows:</w:t>
      </w:r>
    </w:p>
    <w:p>
      <w:pPr>
        <w:pStyle w:val="TextBody"/>
        <w:bidi w:val="0"/>
        <w:jc w:val="both"/>
        <w:rPr/>
      </w:pPr>
      <w:r>
        <w:rPr/>
        <w:t> </w:t>
      </w:r>
    </w:p>
    <w:tbl>
      <w:tblPr>
        <w:tblW w:w="2408" w:type="dxa"/>
        <w:jc w:val="left"/>
        <w:tblInd w:w="0" w:type="dxa"/>
        <w:tblLayout w:type="fixed"/>
        <w:tblCellMar>
          <w:top w:w="28" w:type="dxa"/>
          <w:left w:w="28" w:type="dxa"/>
          <w:bottom w:w="28" w:type="dxa"/>
          <w:right w:w="28" w:type="dxa"/>
        </w:tblCellMar>
      </w:tblPr>
      <w:tblGrid>
        <w:gridCol w:w="946"/>
        <w:gridCol w:w="146"/>
        <w:gridCol w:w="239"/>
        <w:gridCol w:w="88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721,310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Overdrawn deposit accounts that have been reclassified to loans amounted to $0.1 million as of both March 31, 2026 and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Borrowings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Bank had outstanding term advances from the FHLBNY at March 31, 2026 and December 31, 2025 as indicated below.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Advances</w:t>
      </w:r>
      <w:r>
        <w:rPr>
          <w:rFonts w:ascii="Times New Roman" w:hAnsi="Times New Roman"/>
          <w:color w:val="000000"/>
          <w:sz w:val="20"/>
        </w:rPr>
        <w:t>: As a member of the FHLBNY, the Bank has the ability to borrow from the FHLBNY based on a certain percentage of the value of the Bank's qualified collateral, as defined in the FHLBNY Statement of Credit Policy, at the time of the borrowing. In accordance with an agreement with the FHLBNY, the qualified collateral must be free and clear of liens, pledges and encumbrances.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Bank had $571.1 million and $596.1 million of outstanding term advances from the FHLBNY at March 31, 2026 and December 31, 2025, respectively. The Bank had no overnight line of credit advance from the FHLBNY at March 31, 2026 and December 31, 2025.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FRBNY Advances</w:t>
      </w:r>
      <w:r>
        <w:rPr>
          <w:rFonts w:ascii="Times New Roman" w:hAnsi="Times New Roman"/>
          <w:color w:val="000000"/>
          <w:sz w:val="20"/>
        </w:rPr>
        <w:t xml:space="preserve">: The Bank had no term and overnight line of credit advances outstanding from the FRBNY at March 31, 2026 and December 31, 2025.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Letters of Credit</w:t>
      </w:r>
      <w:r>
        <w:rPr>
          <w:rFonts w:ascii="Times New Roman" w:hAnsi="Times New Roman"/>
          <w:color w:val="000000"/>
          <w:sz w:val="20"/>
        </w:rPr>
        <w:t xml:space="preserve">: The Bank had two unsecured lines of credit in the amount of $75.0 million with two correspondent banks for both periods at March 31, 2026 and December 31, 2025. </w:t>
      </w:r>
    </w:p>
    <w:p>
      <w:pPr>
        <w:pStyle w:val="TextBody"/>
        <w:bidi w:val="0"/>
        <w:jc w:val="both"/>
        <w:rPr>
          <w:rFonts w:ascii="Times New Roman" w:hAnsi="Times New Roman"/>
          <w:color w:val="000000"/>
          <w:sz w:val="20"/>
        </w:rPr>
      </w:pPr>
      <w:r>
        <w:rPr>
          <w:rFonts w:ascii="Times New Roman" w:hAnsi="Times New Roman"/>
          <w:color w:val="000000"/>
          <w:sz w:val="20"/>
        </w:rPr>
        <w:t>Borrowed funds at March 31, 2026 and December 31, 2025 consist of the following and are summarized by maturity and call date below:</w:t>
      </w:r>
    </w:p>
    <w:p>
      <w:pPr>
        <w:pStyle w:val="TextBody"/>
        <w:bidi w:val="0"/>
        <w:jc w:val="both"/>
        <w:rPr/>
      </w:pPr>
      <w:r>
        <w:rPr/>
        <w:t> </w:t>
      </w:r>
    </w:p>
    <w:tbl>
      <w:tblPr>
        <w:tblW w:w="10163" w:type="dxa"/>
        <w:jc w:val="left"/>
        <w:tblInd w:w="0" w:type="dxa"/>
        <w:tblLayout w:type="fixed"/>
        <w:tblCellMar>
          <w:top w:w="28" w:type="dxa"/>
          <w:left w:w="28" w:type="dxa"/>
          <w:bottom w:w="28" w:type="dxa"/>
          <w:right w:w="28" w:type="dxa"/>
        </w:tblCellMar>
      </w:tblPr>
      <w:tblGrid>
        <w:gridCol w:w="2536"/>
        <w:gridCol w:w="199"/>
        <w:gridCol w:w="702"/>
        <w:gridCol w:w="146"/>
        <w:gridCol w:w="146"/>
        <w:gridCol w:w="228"/>
        <w:gridCol w:w="808"/>
        <w:gridCol w:w="146"/>
        <w:gridCol w:w="146"/>
        <w:gridCol w:w="216"/>
        <w:gridCol w:w="625"/>
        <w:gridCol w:w="256"/>
        <w:gridCol w:w="146"/>
        <w:gridCol w:w="199"/>
        <w:gridCol w:w="702"/>
        <w:gridCol w:w="146"/>
        <w:gridCol w:w="146"/>
        <w:gridCol w:w="228"/>
        <w:gridCol w:w="808"/>
        <w:gridCol w:w="146"/>
        <w:gridCol w:w="146"/>
        <w:gridCol w:w="216"/>
        <w:gridCol w:w="625"/>
        <w:gridCol w:w="501"/>
      </w:tblGrid>
      <w:tr>
        <w:trPr/>
        <w:tc>
          <w:tcPr>
            <w:tcW w:w="253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br/>
              <w:t>at Call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Scheduled</w:t>
              <w:b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Redeemable</w:t>
              <w:br/>
              <w:t>at Call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u w:val="single"/>
              </w:rPr>
            </w:pPr>
            <w:r>
              <w:rPr>
                <w:rFonts w:ascii="Times New Roman" w:hAnsi="Times New Roman"/>
                <w:color w:val="000000"/>
                <w:sz w:val="18"/>
                <w:u w:val="single"/>
              </w:rPr>
              <w:t>FHLBNY Term advances ending:</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2029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on advances totaled $5.4 million and $5.5 million for the three months ended March 31, 2026 and 2025, respectively.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9. Earnings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a reconciliation of the number of common shares used in the calculation of basic and diluted earnings per common share: </w:t>
      </w:r>
    </w:p>
    <w:p>
      <w:pPr>
        <w:pStyle w:val="TextBody"/>
        <w:bidi w:val="0"/>
        <w:jc w:val="both"/>
        <w:rPr/>
      </w:pPr>
      <w:r>
        <w:rPr/>
        <w:t> </w:t>
      </w:r>
    </w:p>
    <w:tbl>
      <w:tblPr>
        <w:tblW w:w="8860" w:type="dxa"/>
        <w:jc w:val="left"/>
        <w:tblInd w:w="0" w:type="dxa"/>
        <w:tblLayout w:type="fixed"/>
        <w:tblCellMar>
          <w:top w:w="28" w:type="dxa"/>
          <w:left w:w="28" w:type="dxa"/>
          <w:bottom w:w="28" w:type="dxa"/>
          <w:right w:w="28" w:type="dxa"/>
        </w:tblCellMar>
      </w:tblPr>
      <w:tblGrid>
        <w:gridCol w:w="5311"/>
        <w:gridCol w:w="146"/>
        <w:gridCol w:w="228"/>
        <w:gridCol w:w="1121"/>
        <w:gridCol w:w="157"/>
        <w:gridCol w:w="157"/>
        <w:gridCol w:w="228"/>
        <w:gridCol w:w="1121"/>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 except share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outstanding for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24,156,189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23,964,532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 average unallocated Employee Stock</w:t>
              <w:br/>
              <w:t>   Ownership Plan (ESOP)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1,167,872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22,988,317</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22,662,916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dilutive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Dilutive effect of restricted stock awards and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342,997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23,331,314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22,876,740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Commitments, Contingencies and Credit Risk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Financial Instruments With Off-Balance-Sheet Risk</w:t>
      </w:r>
      <w:r>
        <w:rPr>
          <w:rFonts w:ascii="Times New Roman" w:hAnsi="Times New Roman"/>
          <w:color w:val="000000"/>
          <w:sz w:val="20"/>
        </w:rPr>
        <w:t xml:space="preserve">: In the normal course of business, financial instruments with off-balance-sheet risk may be used to meet the financing needs of customers. These financial instruments include commitments to extend credit and letters of credit. These instruments involve, to varying degrees, elements of credit risk and interest rate risk in excess of the amounts recognized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the Consolidated Statements of Financial Condition. The contractual amounts of these instruments reflect the extent of involvement in particular classes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contractual amounts of commitments to extend credit represent the amounts of potential accounting loss should the contract be fully drawn upon, the customer default, and the value of any existing collateral become worthless. The same credit policies are used in making commitments and contractual obligations as for on-balance-sheet instruments. Financial instruments whose contractual amounts represent credit risk at March 31, 2026 and December 31, 2025 are as follows:</w:t>
      </w:r>
    </w:p>
    <w:p>
      <w:pPr>
        <w:pStyle w:val="TextBody"/>
        <w:bidi w:val="0"/>
        <w:jc w:val="both"/>
        <w:rPr/>
      </w:pPr>
      <w:r>
        <w:rPr/>
        <w:t> </w:t>
      </w:r>
    </w:p>
    <w:tbl>
      <w:tblPr>
        <w:tblW w:w="6452" w:type="dxa"/>
        <w:jc w:val="left"/>
        <w:tblInd w:w="0" w:type="dxa"/>
        <w:tblLayout w:type="fixed"/>
        <w:tblCellMar>
          <w:top w:w="28" w:type="dxa"/>
          <w:left w:w="28" w:type="dxa"/>
          <w:bottom w:w="28" w:type="dxa"/>
          <w:right w:w="28" w:type="dxa"/>
        </w:tblCellMar>
      </w:tblPr>
      <w:tblGrid>
        <w:gridCol w:w="3736"/>
        <w:gridCol w:w="146"/>
        <w:gridCol w:w="211"/>
        <w:gridCol w:w="781"/>
        <w:gridCol w:w="146"/>
        <w:gridCol w:w="146"/>
        <w:gridCol w:w="233"/>
        <w:gridCol w:w="862"/>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to grant 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Unfunded commitments under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497,619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481,672</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Commitments to Grant Mortgage Loans</w:t>
      </w:r>
      <w:r>
        <w:rPr>
          <w:rFonts w:ascii="Times New Roman" w:hAnsi="Times New Roman"/>
          <w:color w:val="000000"/>
          <w:sz w:val="20"/>
        </w:rPr>
        <w:t>: Commitments to grant mortgage loans are agreements to lend to a customer as long as all terms and conditions are met as established in the contract. Commitments generally have fixed expiration dates or other termination clauses, and may require payment of a fee by the borrower. Since some of the commitments are expected to expire without being drawn upon, the total commitment amounts do not necessarily represent future cash requirements. Each customer's creditworthiness is evaluated on a case-by-case basis. The amount of collateral obtained, if deemed necessary upon extension of credit, is based on management's credit evaluation of the counterparty. Collateral held varies, but may include accounts receivable, inventory, property and equipment, residential real estate and income-producing commercial properties. Material losses are not anticipated as a result of these transactions.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Commitments to Sell Loans at Lock-in Rates:</w:t>
      </w:r>
      <w:r>
        <w:rPr>
          <w:rFonts w:ascii="Times New Roman" w:hAnsi="Times New Roman"/>
          <w:color w:val="000000"/>
          <w:sz w:val="20"/>
        </w:rPr>
        <w:t xml:space="preserve"> In order to assure itself of a marketplace to sell its loans, the Bank has agreements with investors who will commit to purchase loans at locked-in rates. The Bank has off-balance sheet market risk to the extent that the Bank does not obtain matching commitments from these investors to purchase the loans. This will expose the Bank to the lower of cost or market valuation environment.</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Repurchases, Indemnifications and Premium Recaptures</w:t>
      </w:r>
      <w:r>
        <w:rPr>
          <w:rFonts w:ascii="Times New Roman" w:hAnsi="Times New Roman"/>
          <w:color w:val="000000"/>
          <w:sz w:val="20"/>
        </w:rPr>
        <w:t>: Loans sold by the Bank under investor programs are subject to repurchase or indemnification if they fail to meet the origination criteria of those programs. In addition, loans sold to investors are also subject to repurchase or indemnifications if the loan is two or three months delinquent during a set period which usually varies from six months to a year after the loan is sold. There are no open repurchase or indemnification requests for loans sold as a correspondent lender or where the Company acted as a broker in the transaction as of March 31, 2026.</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Unfunded Commitments Under Lines of Credit</w:t>
      </w:r>
      <w:r>
        <w:rPr>
          <w:rFonts w:ascii="Times New Roman" w:hAnsi="Times New Roman"/>
          <w:color w:val="000000"/>
          <w:sz w:val="20"/>
        </w:rPr>
        <w:t>: Unfunded commitments under commercial lines of credit, revolving credit lines and overdraft protection agreements are commitments for possible future extension of credit to existing customers. These lines of credit are uncollateralized and usually contain a specified maturity date and, ultimately, may not be drawn upon to the total extent to which the Company is committed.</w:t>
      </w:r>
    </w:p>
    <w:p>
      <w:pPr>
        <w:pStyle w:val="TextBody"/>
        <w:bidi w:val="0"/>
        <w:jc w:val="left"/>
        <w:rPr>
          <w:rFonts w:ascii="Times New Roman" w:hAnsi="Times New Roman"/>
          <w:sz w:val="20"/>
        </w:rPr>
      </w:pPr>
      <w:r>
        <w:rPr>
          <w:rFonts w:ascii="Times New Roman" w:hAnsi="Times New Roman"/>
          <w:color w:val="000000"/>
          <w:sz w:val="20"/>
          <w:u w:val="single"/>
        </w:rPr>
        <w:t>Unfunded Commitments with Oaktree</w:t>
      </w:r>
      <w:r>
        <w:rPr>
          <w:rFonts w:ascii="Times New Roman" w:hAnsi="Times New Roman"/>
          <w:color w:val="000000"/>
          <w:sz w:val="20"/>
        </w:rPr>
        <w:t xml:space="preserve">: In December of 2021, the Bank committed to invest $5.0 million in Oaktree SBIC Fund, L.P. ("Oaktree"). As of March 31, 2026, the total unfunded commitment was $1.7 million. </w:t>
      </w:r>
    </w:p>
    <w:p>
      <w:pPr>
        <w:pStyle w:val="TextBody"/>
        <w:bidi w:val="0"/>
        <w:jc w:val="left"/>
        <w:rPr>
          <w:rFonts w:ascii="Times New Roman" w:hAnsi="Times New Roman"/>
          <w:sz w:val="20"/>
        </w:rPr>
      </w:pPr>
      <w:r>
        <w:rPr>
          <w:rFonts w:ascii="Times New Roman" w:hAnsi="Times New Roman"/>
          <w:color w:val="000000"/>
          <w:sz w:val="20"/>
          <w:u w:val="single"/>
        </w:rPr>
        <w:t>Unfunded Commitments with Silvergate</w:t>
      </w:r>
      <w:r>
        <w:rPr>
          <w:rFonts w:ascii="Times New Roman" w:hAnsi="Times New Roman"/>
          <w:color w:val="000000"/>
          <w:sz w:val="20"/>
        </w:rPr>
        <w:t xml:space="preserve">: In April of 2022, the Company committed to invest $5.2 million in EJF Silvergate Ventures Fund LP ("Silvergate"). As of March 31, 2026, the total unfunded commitment was $1.2 million.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Letters of Credit</w:t>
      </w:r>
      <w:r>
        <w:rPr>
          <w:rFonts w:ascii="Times New Roman" w:hAnsi="Times New Roman"/>
          <w:color w:val="000000"/>
          <w:sz w:val="20"/>
        </w:rPr>
        <w:t>: Letters of credit are conditional commitments issued to guarantee the performance of a customer to a third party. These guarantees are primarily issued to support public and private borrowing arrangements. The credit risk involved in issuing letters of credit is essentially the same as that involved in extending loan facilities to customers. Letters of credit are largely cash secured.</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Concentration by Geographic Location</w:t>
      </w:r>
      <w:r>
        <w:rPr>
          <w:rFonts w:ascii="Times New Roman" w:hAnsi="Times New Roman"/>
          <w:color w:val="000000"/>
          <w:sz w:val="20"/>
        </w:rPr>
        <w:t>: Loans, commitments to extend credit and letters of credit have been granted to customers who are located primarily in the New York City metropolitan area. Generally, such loans most often are secured by residential properties. The loans are expected to be repaid from the borrowers' payment sources.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Legal Matters</w:t>
      </w:r>
      <w:r>
        <w:rPr>
          <w:rFonts w:ascii="Times New Roman" w:hAnsi="Times New Roman"/>
          <w:color w:val="000000"/>
          <w:sz w:val="20"/>
        </w:rPr>
        <w:t>: The Company is involved in various legal proceedings which have arisen in the normal course of business. Management believes that resolution of these matters will not have a material effect on the Company’s financial condition or results of operations.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11.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fair value hierarchy is used based on the lowest level of input significant to the fair value measurement. There are three levels of inputs that may be used to measure fair values: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 Quoted prices (unadjusted) for identical assets or liabilities in active markets that the entity has the ability to access as of the measurement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 Significant unobservable inputs that reflect a company’s own assumptions about the assumptions that market participants would use in pricing an asset or liability.</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used the following methods and significant assumptions to estimate fair value:</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Cash and Cash Equivalents, Placement with Banks, Accrued Interest Receivable, and Accrued Interest Payable</w:t>
      </w:r>
      <w:r>
        <w:rPr>
          <w:rFonts w:ascii="Times New Roman" w:hAnsi="Times New Roman"/>
          <w:color w:val="000000"/>
          <w:sz w:val="20"/>
        </w:rPr>
        <w:t>: The carrying amount is a reasonable estimate of fair value. These assets and liabilities are not recorded at fair value on a recurring basis.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Available-for-Sale Securities</w:t>
      </w:r>
      <w:r>
        <w:rPr>
          <w:rFonts w:ascii="Times New Roman" w:hAnsi="Times New Roman"/>
          <w:color w:val="000000"/>
          <w:sz w:val="20"/>
        </w:rPr>
        <w:t>: These financial instruments are recorded at fair value in the consolidated financial statements on a recurring basis. Where quoted prices are available in an active market, securities are classified within Level 1 of the valuation hierarchy. If quoted prices are not available, then fair values are estimated by using pricing models (e.g., matrix pricing) or quoted prices of securities with similar characteristics and are classified within Level 2 of the valuation hierarchy. Examples of such instruments include government agency bonds and mortgage-backed securities. Level 3 securities are securities for which significant unobservable inputs are utilized. There were no changes in valuation techniques used to measure similar assets during the period.</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Stock</w:t>
      </w:r>
      <w:r>
        <w:rPr>
          <w:rFonts w:ascii="Times New Roman" w:hAnsi="Times New Roman"/>
          <w:color w:val="000000"/>
          <w:sz w:val="20"/>
        </w:rPr>
        <w:t>: FHLBNY stock is carried at cost and classified as restricted equity securities. As a member of the FHLBNY, the Company is required to purchase and hold this stock.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FRBNY Stock</w:t>
      </w:r>
      <w:r>
        <w:rPr>
          <w:rFonts w:ascii="Times New Roman" w:hAnsi="Times New Roman"/>
          <w:color w:val="000000"/>
          <w:sz w:val="20"/>
        </w:rPr>
        <w:t>: FRBNY stock is carried at cost and classified as restricted equity securities. As a member of the FRBNY, the Company is required to purchase and hold this stock.</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Loans Receivable</w:t>
      </w:r>
      <w:r>
        <w:rPr>
          <w:rFonts w:ascii="Times New Roman" w:hAnsi="Times New Roman"/>
          <w:color w:val="000000"/>
          <w:sz w:val="20"/>
        </w:rPr>
        <w:t>: For variable rate loans, which reprice frequently and have no significant change in credit risk, carrying values are a reasonable estimate of fair values, adjusted for credit losses inherent in the portfolios. The fair value of fixed rate loans is estimated by discounting the future cash flows using estimated market rates at which similar loans would be made to borrowers with similar credit ratings and for the same remaining maturities, adjusted for credit losses inherent in the portfolios. Individual assessed loans are valued using a present value discounted cash flow method, or the fair value of the collateral. Loans are not recorded at fair value on a recurring basis.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Mortgage Loans Held for Sale</w:t>
      </w:r>
      <w:r>
        <w:rPr>
          <w:rFonts w:ascii="Times New Roman" w:hAnsi="Times New Roman"/>
          <w:color w:val="000000"/>
          <w:sz w:val="20"/>
        </w:rPr>
        <w:t>: Loans held for sale, at fair value, consists of loans originated for sale by the Bank and accounted for under the fair value option. These assets are valued using stated investor pricing for substantially equivalent loans as Level 2. In determining fair value, such measurements are derived based on observable market data, including whole-loan transaction pricing and similar market transactions adjusted for portfolio composition, servicing value and market conditions. Loans held for sale by the Bank are carried at the lower of cost or fair value as determined by investor bid prices.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fair value option, management has elected, on an instrument-by-instrument basis, fair value for substantially all forms of mortgage loans originated for sale on a recurring basis. As of March 31, 2026, the fair value carrying amount of mortgages held for sale measured under the fair value option was $2.1 million and the aggregate unpaid principal amounted to $2.1 million.</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Real Estate Owned</w:t>
      </w:r>
      <w:r>
        <w:rPr>
          <w:rFonts w:ascii="Times New Roman" w:hAnsi="Times New Roman"/>
          <w:color w:val="000000"/>
          <w:sz w:val="20"/>
        </w:rPr>
        <w:t>: Other real estate owned represents real estate acquired through foreclosure, and is recorded at fair value less estimated disposal costs on a nonrecurring basis. Fair value is based upon independent market prices, appraised values of the collateral or management's estimation of the value of the collateral. When the fair value of the collateral is based on an observable market price or a current appraised value, the asset is classified as Level 2. When an appraised value is not available or management determines the fair value of the collateral is further impaired below the appraised value and there is no observable market price, the asset is classified as Level 3.</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Deposits</w:t>
      </w:r>
      <w:r>
        <w:rPr>
          <w:rFonts w:ascii="Times New Roman" w:hAnsi="Times New Roman"/>
          <w:color w:val="000000"/>
          <w:sz w:val="20"/>
        </w:rPr>
        <w:t xml:space="preserve">: The fair values of demand deposits, savings, NOW and money market accounts equal their carrying amounts, which represent the amounts payable on demand at the reporting date. Fair values for fixed-term, fixed-rate certificates of deposit are estimated using a discounted cash flow calculation that applies market interest rates on certificates of deposit to a schedule of aggregated expected monthly maturities on such deposits. Deposits are not recorded at fair value on a recurring basis.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FHLBNY Advances</w:t>
      </w:r>
      <w:r>
        <w:rPr>
          <w:rFonts w:ascii="Times New Roman" w:hAnsi="Times New Roman"/>
          <w:color w:val="000000"/>
          <w:sz w:val="20"/>
        </w:rPr>
        <w:t xml:space="preserve">: The fair value of the advances is estimated using a discounted cash flow calculation that applies current market-based FHLBNY interest rates for advances of similar maturity to a schedule of maturities of such advances. These borrowings are not recorded at fair value on a recurring basis.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Off-Balance-Sheet Instruments</w:t>
      </w:r>
      <w:r>
        <w:rPr>
          <w:rFonts w:ascii="Times New Roman" w:hAnsi="Times New Roman"/>
          <w:color w:val="000000"/>
          <w:sz w:val="20"/>
        </w:rPr>
        <w:t>: Fair values for off-balance-sheet instruments (lending commitments and standby letters of credit) are based on fees currently charged to enter into similar agreements, taking into account the remaining terms of the agreements and the counterparties' credit standing. Off-balance-sheet instruments are not recorded at fair value on a recurring basis.</w:t>
      </w:r>
    </w:p>
    <w:p>
      <w:pPr>
        <w:pStyle w:val="TextBody"/>
        <w:bidi w:val="0"/>
        <w:spacing w:before="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detail the assets that are carried at fair value and measured at fair value on a recurring basis as of March 31, 2026 and December 31, 2025, and indicate the level within the fair value hierarchy utilized to determine the fair value:</w:t>
      </w:r>
    </w:p>
    <w:p>
      <w:pPr>
        <w:pStyle w:val="TextBody"/>
        <w:bidi w:val="0"/>
        <w:jc w:val="both"/>
        <w:rPr/>
      </w:pPr>
      <w:r>
        <w:rPr/>
        <w:t> </w:t>
      </w:r>
    </w:p>
    <w:tbl>
      <w:tblPr>
        <w:tblW w:w="8050"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11"/>
        <w:gridCol w:w="421"/>
        <w:gridCol w:w="146"/>
        <w:gridCol w:w="146"/>
        <w:gridCol w:w="211"/>
        <w:gridCol w:w="676"/>
        <w:gridCol w:w="146"/>
        <w:gridCol w:w="146"/>
        <w:gridCol w:w="239"/>
        <w:gridCol w:w="391"/>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89,277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8200"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11"/>
        <w:gridCol w:w="571"/>
        <w:gridCol w:w="146"/>
        <w:gridCol w:w="146"/>
        <w:gridCol w:w="211"/>
        <w:gridCol w:w="676"/>
        <w:gridCol w:w="146"/>
        <w:gridCol w:w="146"/>
        <w:gridCol w:w="239"/>
        <w:gridCol w:w="391"/>
        <w:gridCol w:w="3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Collateralized Mortgage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FHLMC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Management’s assessment and classification of an investment within a level can change over time based upon maturity or liquidity of the investment and would be reflected at the beginning of the quarter in which the change occurred.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detail the assets carried at fair value and measured at fair value on a nonrecurring basis as of March 31, 2026 and December 31, 2025 and indicate the fair value hierarchy utilized to determine the fair value:</w:t>
      </w:r>
    </w:p>
    <w:p>
      <w:pPr>
        <w:pStyle w:val="TextBody"/>
        <w:bidi w:val="0"/>
        <w:jc w:val="both"/>
        <w:rPr/>
      </w:pPr>
      <w:r>
        <w:rPr/>
        <w:t> </w:t>
      </w:r>
    </w:p>
    <w:tbl>
      <w:tblPr>
        <w:tblW w:w="6708"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39"/>
        <w:gridCol w:w="391"/>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Individually evaluated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6708"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39"/>
        <w:gridCol w:w="391"/>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Individually evaluated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Losses on assets carried at fair value on a nonrecurring basis were </w:t>
      </w:r>
      <w:r>
        <w:rPr>
          <w:rFonts w:ascii="Times New Roman" w:hAnsi="Times New Roman"/>
          <w:i/>
          <w:color w:val="000000"/>
          <w:sz w:val="20"/>
        </w:rPr>
        <w:t>de minimis</w:t>
      </w:r>
      <w:r>
        <w:rPr>
          <w:rFonts w:ascii="Times New Roman" w:hAnsi="Times New Roman"/>
          <w:color w:val="000000"/>
          <w:sz w:val="20"/>
        </w:rPr>
        <w:t xml:space="preserve"> for the three months ended March 31, 2026 and 2025, respectively.</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and December 31, 2025, the carrying values and estimated fair values of the Company's financial instruments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0"/>
        <w:gridCol w:w="146"/>
        <w:gridCol w:w="211"/>
        <w:gridCol w:w="931"/>
        <w:gridCol w:w="146"/>
        <w:gridCol w:w="146"/>
        <w:gridCol w:w="211"/>
        <w:gridCol w:w="931"/>
        <w:gridCol w:w="146"/>
        <w:gridCol w:w="146"/>
        <w:gridCol w:w="211"/>
        <w:gridCol w:w="781"/>
        <w:gridCol w:w="146"/>
        <w:gridCol w:w="146"/>
        <w:gridCol w:w="211"/>
        <w:gridCol w:w="931"/>
        <w:gridCol w:w="146"/>
        <w:gridCol w:w="146"/>
        <w:gridCol w:w="211"/>
        <w:gridCol w:w="931"/>
        <w:gridCol w:w="591"/>
      </w:tblGrid>
      <w:tr>
        <w:trPr/>
        <w:tc>
          <w:tcPr>
            <w:tcW w:w="2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 at amortized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Demand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567,043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0"/>
        <w:gridCol w:w="146"/>
        <w:gridCol w:w="211"/>
        <w:gridCol w:w="931"/>
        <w:gridCol w:w="146"/>
        <w:gridCol w:w="146"/>
        <w:gridCol w:w="211"/>
        <w:gridCol w:w="931"/>
        <w:gridCol w:w="146"/>
        <w:gridCol w:w="146"/>
        <w:gridCol w:w="211"/>
        <w:gridCol w:w="781"/>
        <w:gridCol w:w="146"/>
        <w:gridCol w:w="146"/>
        <w:gridCol w:w="211"/>
        <w:gridCol w:w="931"/>
        <w:gridCol w:w="146"/>
        <w:gridCol w:w="146"/>
        <w:gridCol w:w="211"/>
        <w:gridCol w:w="931"/>
        <w:gridCol w:w="591"/>
      </w:tblGrid>
      <w:tr>
        <w:trPr/>
        <w:tc>
          <w:tcPr>
            <w:tcW w:w="2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securities,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Held-to-maturity securities,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loans held for sale,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2,577,298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Demand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transfers between levels of the valuation hierarchy at the end of the applicable reporting periods. There were no transfers of Level 3 assets in the fair value hierarchy at March 31, 2026 and December 31, 2025. Fair value for Level 3 securities was determined using a third-party pricing service with limited levels of activity and price transparency.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Off-Balance-Sheet Instruments</w:t>
      </w:r>
      <w:r>
        <w:rPr>
          <w:rFonts w:ascii="Times New Roman" w:hAnsi="Times New Roman"/>
          <w:color w:val="000000"/>
          <w:sz w:val="20"/>
        </w:rPr>
        <w:t>: Loan commitments on which the committed interest rate is less than the current market rate are insignificant at March 31, 2026 and December 31, 2025.</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information about financial instruments are disclosed, whether or not recognized in the consolidated statements of financial condition, for which it is practicable to estimate that value. Accordingly, the aggregate fair value amounts presented do not represent the underlying value of the Company. The estimated fair value amounts for 2026 and 2025 have been measured as of their respective period-ends and have not been reevaluated or updated for purposes of these consolidated financial statements subsequent to those respective dates. As such, the estimated fair values of these financial instruments subsequent to the respective reporting dates may be different than amounts reported at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presented should not be interpreted as an estimate of the fair value of the entire Company since a fair value calculation is only required for a limited portion of the Company's assets and liabilities. Due to the wide range of valuation techniques and the degree of subjectivity used in making the estimates, comparisons between the Company's disclosures and those of other banks may not be meaningful.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12. Regulatory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and the Bank are subject to various regulatory capital requirements administered by the Federal Reserve Board, the OCC and the U.S. Department of Housing and Urban Development. Failure to meet minimum capital requirements can initiate certain mandatory and possibly additional discretionary actions by regulators that, if undertaken, could have a direct material effect on the Company’s operations and financial statements. Under the regulatory capital adequacy guidelines and the regulatory framework for prompt corrective action, the Company must meet specific capital guidelines that involve quantitative measures of the Company's assets, liabilities and certain off-balance-sheet items as calculated under regulatory accounting practices. The Company's capital amounts and classification are also subject to qualitative judgments by the regulators about components, risk weightings and other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Quantitative measures established by regulation require the maintenance of minimum amounts and ratios (set forth in the table below) of total risk-based and Tier 1 capital to risk-weighted assets (as defined), common equity Tier 1 capital (as defined), and Tier 1 capital to adjusted total assets (as defined) adjusted total assets (as defined). As of March 31, 2026 and December 31, 2025, the applicable capital adequacy requirements specified below have been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below minimum capital requirements exclude the capital conservation buffer required to avoid limitations on capital distributions including dividend payments and certain discretionary bonus payments to executive officers. The applicable capital buffer for the Bank was 12.0% at March 31, 2026 and 13.6% at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most recent notification from the OCC categorized the Bank as well capitalized under the regulatory framework for prompt corrective action. To be categorized as well capitalized, the Company and the Bank must maintain minimum total risk-based, common equity risk-based, Tier 1 risk-based and Tier 1 leverage ratios as set forth in the table below. There were no conditions or events since then of which management is aware that have changed the Bank's category.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and the Bank’s actual capital amounts and ratios as of March 31, 2026 and December 31, 2025 as compared to regulatory requirements are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11"/>
        <w:gridCol w:w="781"/>
        <w:gridCol w:w="146"/>
        <w:gridCol w:w="146"/>
        <w:gridCol w:w="146"/>
        <w:gridCol w:w="571"/>
        <w:gridCol w:w="271"/>
        <w:gridCol w:w="146"/>
        <w:gridCol w:w="211"/>
        <w:gridCol w:w="781"/>
        <w:gridCol w:w="146"/>
        <w:gridCol w:w="146"/>
        <w:gridCol w:w="606"/>
        <w:gridCol w:w="146"/>
        <w:gridCol w:w="211"/>
        <w:gridCol w:w="781"/>
        <w:gridCol w:w="146"/>
        <w:gridCol w:w="146"/>
        <w:gridCol w:w="146"/>
        <w:gridCol w:w="571"/>
        <w:gridCol w:w="517"/>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Well</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Under</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Corrective</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Adequacy Purposes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Provisions</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Financial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11"/>
        <w:gridCol w:w="146"/>
        <w:gridCol w:w="211"/>
        <w:gridCol w:w="781"/>
        <w:gridCol w:w="146"/>
        <w:gridCol w:w="146"/>
        <w:gridCol w:w="146"/>
        <w:gridCol w:w="571"/>
        <w:gridCol w:w="271"/>
        <w:gridCol w:w="146"/>
        <w:gridCol w:w="211"/>
        <w:gridCol w:w="781"/>
        <w:gridCol w:w="146"/>
        <w:gridCol w:w="146"/>
        <w:gridCol w:w="146"/>
        <w:gridCol w:w="466"/>
        <w:gridCol w:w="271"/>
        <w:gridCol w:w="146"/>
        <w:gridCol w:w="211"/>
        <w:gridCol w:w="781"/>
        <w:gridCol w:w="146"/>
        <w:gridCol w:w="146"/>
        <w:gridCol w:w="146"/>
        <w:gridCol w:w="571"/>
        <w:gridCol w:w="516"/>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Be Well</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Under</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Capital</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Prompt Corrective</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Adequacy Purposes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 Provisions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Ratio</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Financial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Ponce Bank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Tier 1 Capital to 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and December 31, 2025, the Bank was in compliance with the applicable minimum capital requirements specified above.</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13. Accumulated Other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accumulated other comprehensive loss is as follows:</w:t>
      </w:r>
    </w:p>
    <w:p>
      <w:pPr>
        <w:pStyle w:val="TextBody"/>
        <w:bidi w:val="0"/>
        <w:spacing w:before="120" w:after="283"/>
        <w:jc w:val="both"/>
        <w:rPr/>
      </w:pPr>
      <w:r>
        <w:rPr/>
        <w:t> </w:t>
      </w:r>
    </w:p>
    <w:tbl>
      <w:tblPr>
        <w:tblW w:w="8060" w:type="dxa"/>
        <w:jc w:val="left"/>
        <w:tblInd w:w="0" w:type="dxa"/>
        <w:tblLayout w:type="fixed"/>
        <w:tblCellMar>
          <w:top w:w="28" w:type="dxa"/>
          <w:left w:w="28" w:type="dxa"/>
          <w:bottom w:w="28" w:type="dxa"/>
          <w:right w:w="28" w:type="dxa"/>
        </w:tblCellMar>
      </w:tblPr>
      <w:tblGrid>
        <w:gridCol w:w="4396"/>
        <w:gridCol w:w="146"/>
        <w:gridCol w:w="244"/>
        <w:gridCol w:w="851"/>
        <w:gridCol w:w="166"/>
        <w:gridCol w:w="146"/>
        <w:gridCol w:w="220"/>
        <w:gridCol w:w="441"/>
        <w:gridCol w:w="146"/>
        <w:gridCol w:w="146"/>
        <w:gridCol w:w="211"/>
        <w:gridCol w:w="73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tbl>
      <w:tblPr>
        <w:tblW w:w="8181" w:type="dxa"/>
        <w:jc w:val="left"/>
        <w:tblInd w:w="0" w:type="dxa"/>
        <w:tblLayout w:type="fixed"/>
        <w:tblCellMar>
          <w:top w:w="28" w:type="dxa"/>
          <w:left w:w="28" w:type="dxa"/>
          <w:bottom w:w="28" w:type="dxa"/>
          <w:right w:w="28" w:type="dxa"/>
        </w:tblCellMar>
      </w:tblPr>
      <w:tblGrid>
        <w:gridCol w:w="4396"/>
        <w:gridCol w:w="146"/>
        <w:gridCol w:w="244"/>
        <w:gridCol w:w="851"/>
        <w:gridCol w:w="166"/>
        <w:gridCol w:w="146"/>
        <w:gridCol w:w="211"/>
        <w:gridCol w:w="571"/>
        <w:gridCol w:w="146"/>
        <w:gridCol w:w="146"/>
        <w:gridCol w:w="211"/>
        <w:gridCol w:w="736"/>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March 31, </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2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on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14. Transactions with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Directors, executive officers and non-executive officers of the Company have been customers of and have had transactions with the Bank, and it is expected that such persons will continue to have such transactions in the future. Aggregate loan transactions with related parties for the three months ended March 31, 2026 and 2025 were as follows:</w:t>
      </w:r>
    </w:p>
    <w:p>
      <w:pPr>
        <w:pStyle w:val="TextBody"/>
        <w:bidi w:val="0"/>
        <w:spacing w:before="120" w:after="283"/>
        <w:jc w:val="both"/>
        <w:rPr/>
      </w:pPr>
      <w:r>
        <w:rPr/>
        <w:t> </w:t>
      </w:r>
    </w:p>
    <w:tbl>
      <w:tblPr>
        <w:tblW w:w="5007" w:type="dxa"/>
        <w:jc w:val="left"/>
        <w:tblInd w:w="0" w:type="dxa"/>
        <w:tblLayout w:type="fixed"/>
        <w:tblCellMar>
          <w:top w:w="28" w:type="dxa"/>
          <w:left w:w="28" w:type="dxa"/>
          <w:bottom w:w="28" w:type="dxa"/>
          <w:right w:w="28" w:type="dxa"/>
        </w:tblCellMar>
      </w:tblPr>
      <w:tblGrid>
        <w:gridCol w:w="1666"/>
        <w:gridCol w:w="146"/>
        <w:gridCol w:w="325"/>
        <w:gridCol w:w="973"/>
        <w:gridCol w:w="256"/>
        <w:gridCol w:w="225"/>
        <w:gridCol w:w="325"/>
        <w:gridCol w:w="880"/>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held deposits in the amount of $8.7 million and $8.6 million from directors, executive officers and non-executive officers at March 31, 2026 and December 31, 2025, respectively.</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Management’s discussion and analysis of the financial condition at March 31, 2026 and December 31, 2025, and results of operations for the three months ended March 31, 2026 and 2025, is intended to assist in understanding the financial condition and results of operations of Ponce Financial Group, Inc. (the “Company”). The information contained in this section should be read in conjunction with the unaudited financial statements and the notes thereto appearing in Part I, Item 1, of this quarterly report on Form 10-Q.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principal business is attracting retail deposits from the general public and investing those deposits together with funds generated from ongoing operations and borrowings, primarily in (1) loan originations for purchases and construction of multi-family residential properties, commercial business loans, commercial real estate mortgage loans, one-to-four family (focusing on mixed-use properties, which are properties that contain both residential dwelling units and commercial units); (2) construction loans; (3) SBA loans; (4) mortgage-backed securities; and (5) U.S. government securities, corporate fixed-income securities and other marketable securities. We also originate certain other consumer loans including overdraft lines of credit. Our results of operations depend primarily on net interest income, which is the difference between the income earned on its interest-earning assets and the cost of our interest-bearing liabilities. We also generate non-interest income mainly from service charges and fees, late and prepayment charges, income on sale of mortgage loans and grant income. Our non-interest expense consists principally of employee compensation and benefits, occupancy and equipment costs, data processing expenses, direct loan expenses, professional fees, other operating expenses and income tax expense. Our results of operations can also be significantly affected by our periodic provision for credit losses.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contains forward-looking statements, which can be identified by the use of words such as "estimate," "project," "intend," "anticipate," "assume," "plan," "seek," "expect," "will," "may," "should," "indicate," "would," "believe," "contemplate," "continue," "target" and words of similar meaning. These forward-looking statements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of the Company’s goals, intentions and expectations;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regarding its business plans, prospects, growth and operating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statements regarding the quality of its loan and investment portfolios;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the risks and future costs and benefits;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are based on current beliefs and expectations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factors, among others, could cause actual results to differ materially from the anticipated results or other expectations expressed in the forward-looking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duration and severity of rising interest rates, and its effects on our business and operations, our customers, including their ability to make timely payments on loans, our service providers, and on the economy and financial markets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U.S. trade policies, including the imposition of tariffs and retaliatory tariffs, and their related impacts on the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consumer spending, borrowing and savings habits;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that are worse than expected, particularly in connection with low or negative growth in the. economy as well as economic uncertainty (including from an economic slowdown or recession, the federal government shutdown, unemployment, or limited growth in consumer income or spending), either nationally or in the market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in the financial services sector, including failures or rumors of failures of other depository institutions, along with actions taken by governmental agencies to address such turmoil, and the effects on the ability of depository institutions, including us, to attract and retain depositors and to borrow or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manage market risk, credit risk and operational risk in the current economic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level and direction of loan delinquencies and write-offs and changes in estimates of the adequacy of the allowance for loan losses;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access cost-effective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real estate values and real estate market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demand for loans and deposits in the market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implement and change its business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among depository and other financial institutions;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and changes in the interest rate environment that reduce the Company’s margins and yields, its mortgage banking revenues, the fair value of financial instruments or the level of loan originations, or increase the level of defaults, losses and prepayments on loans the Company have made and make;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changes in the securities or secondary mortgage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government regulations or policies affecting financial institutions, including changes in regulatory fees and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monetary, fiscal and regulatory policies of the U.S. government, including policies of the U.S. Department of the Treasury and the Federal Reserve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liquidity and changes in our capital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changes related to the businesses of our partners;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quality or composition of the Company’s loan or investment portfolios;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technological changes that may be more difficult or expensive than expected; and cyber threats, attacks or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of third party providers to perform as expected;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enter new markets successfully and capitalize on growth opportunities;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successfully integrate into its operations, any assets, liabilities, customers, systems and management personnel the Company may acquire and management’s ability to realize related revenue synergies and cost savings within expected time frames, and any goodwill charges related thereto;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policies and practices, as may be adopted by the bank regulatory agencies, the Financial Accounting Standards Board, the Securities and Exchange Commission or the Public Company Accounting Oversight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ability to retain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compensation expense associated with equity allocated or awarded to its employees;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adverse effects of unusual and infrequently occurring events, such as weather-related disasters, terrorist acts, geopolitical conflicts or public health events (such as pandemics), and of governmental and societal responses thereto;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financial condition, results of operations or future prospects of issuers of securities that the Company may 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 factors that may affect the Company’s results are discussed in our Annual Report on Form 10-K for the year ended December 31, 2025 under the heading “Risk Factors” filed with the Securities and Exchange Commission (“SEC”) on March 13,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these and other uncertainties, our actual future results may be materially different from the results indicated by these forward-looking statements. The Company is under no duty to and does not assume any obligation to update any forward-looking statements after the date they were made, whether as a result of new information, future events or otherwise.</w:t>
      </w:r>
    </w:p>
    <w:p>
      <w:pPr>
        <w:pStyle w:val="TextBody"/>
        <w:bidi w:val="0"/>
        <w:spacing w:before="200" w:after="283"/>
        <w:jc w:val="both"/>
        <w:rPr>
          <w:rFonts w:ascii="Times New Roman" w:hAnsi="Times New Roman"/>
          <w:sz w:val="20"/>
        </w:rPr>
      </w:pPr>
      <w:r>
        <w:rPr>
          <w:rFonts w:ascii="Times New Roman" w:hAnsi="Times New Roman"/>
          <w:b/>
          <w:color w:val="000000"/>
          <w:sz w:val="20"/>
        </w:rPr>
        <w:t>Federal Economic Relief Funds To Aid Lending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Emergency Capital Investment Program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June 7, 2022 (the “Original Closing Date”), the Company issued 225,000 shares of the Company’s Preferred Stock‎, par value $0.01 (the “Preferred Stock”) for an aggregate purchase price equal to $225,000,000 in cash to the Treasury, pursuant to the Treasury’s ECIP. Under the ECIP, Treasury provided investment capital directly to depository institutions that are CDFIs or MDIs or their holding companies, to provide loans, grants, and forbearance for small businesses, minority-owned businesses, and consumers, in low-income and underserved communities. No dividends accrued or were due for the first two years after issuance. For years three through ten, depending upon the level of qualified and/or deep impact lending made in targeted communities, as defined in the ECIP guidelines, dividends will be at an annual rate of either 2.0%, 1.25% or 0.5% and, thereafter, will be fixed at one of the foregoing rates. If we are unable to make qualified and/or deep impact loans at required levels, we will be required to pay dividends at the higher annual rates.</w:t>
      </w:r>
      <w:r>
        <w:rPr>
          <w:rFonts w:ascii="Times New Roman" w:hAnsi="Times New Roman"/>
          <w:color w:val="1F497D"/>
          <w:sz w:val="20"/>
        </w:rPr>
        <w:t xml:space="preserve">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we may make qualified and/or deep impact loans that are riskier than we otherwise would in an effort to meet the lending requirements for the lower dividend rates and/or to qualify for the purchase option under the Repurchase Agreement (as described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Holders of Preferred Stock generally do not have any voting rights, with the exception of voting rights on certain matters as outlined in the Certificate of Designations. The Treasury is the holder of the Preferred Stock and a governmental entity, and the Treasury may hold interests that are different from a private investor in exercising its voting and other rights. In the event of a liquidation, dissolution or winding up of the Company, the Preferred Stock will be entitled to a liquidation preference, subject to certain limitations, in the amount of the sum of $1,000 per share plus declared and unpaid dividends (without accumulation of undeclared dividends) on each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participant in the ECIP, the Company must comply with certain operating requirements. Specifically, the Company must adopt the Treasury's standards for executive compensation and luxury expenses for the period during which the Treasury holds equity issued under the ECIP. These restrictions may make it difficult to adequately compensate our management team, which could impact our ability to retain qualified management. Additionally, under the ECIP regulations, the Company cannot pay dividends or repurchase its common stock unless it meets certain income-based tests and has paid the required dividends on the Preferred Stock. In June 2024, the Company began paying dividends on its Preferred Stock, which dividends were $0.3 million for the three months ended March 31, 2026 and $1.1 million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20, 2024, the Company entered into an ECIP Securities Purchase Option Agreement (the “Repurchase Agreement”) with Treasury. Pursuant to the Repurchase Agreement, Treasury has granted the Company an option to purchase all of the Preferred Stock during the Option Period, which is the first fifteen years following the Original Closing Date. The purchase price for the Preferred Stock pursuant to the purchase option is determined based on a formula equal to the present value of the Preferred Stock, calculated as set forth in the Repurchase Agreement, together with any accrued and unpaid dividends thereon, as of the closing date. Subject to variations in interest rates and the equity risk premium, which are components included in the purchase price calculation, the Company presently expects that the purchase price will be at a substantial discount from the face value of the Preferred Stock.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option may not be exercised unless and until at least one of the Threshold Conditions under the Repurchase Agreement has been met. The Threshold Conditions are as follows: during the ten years that follow the Original Closing Date (the “ECIP Period”) either (1) over any sixteen consecutive quarters, an average of at least 60% of the Company’s Total Originations, as defined pursuant to the terms of the ECIP, qualifies as “Deep Impact Lending,” as defined pursuant to the terms of the ECIP (the “Deep Impact Condition”); (2) over any twenty-four consecutive quarters, an average of at least 85% of the Company’s Total Originations qualifies as “Qualified Lending,” as defined pursuant to the terms of the ECIP (the “Qualified Lending Condition”); or (3) the Preferred Stock has a dividend rate of no more than 0.5%, which dividend rate is calculated pursuant to the ECIP and the terms thereof, at each of six consecutive Reset Dates, as defined in the ECIP.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earliest possible date by which a Threshold Condition may be met is June 30, 2026, which is the end of the sixteenth consecutive quarter following the Original Closing Date. However, the Company does not currently meet any of the Threshold Conditions to exercise the purchase option, and there can be no assurance if and when the Threshold Conditions will be met. The closing of the repurchase of the Preferred Stock, if consummated, would occur between thirty and ninety days following the satisfaction of the Threshold Condition and all other applicable conditions. At present, the Company has reported 15 consecutive quarters for which it has met both the Deep Impact and Qualified Lending Conditions. The Preferred Stock currently has a dividend rate of 0.5%. </w:t>
      </w:r>
    </w:p>
    <w:p>
      <w:pPr>
        <w:pStyle w:val="TextBody"/>
        <w:bidi w:val="0"/>
        <w:jc w:val="both"/>
        <w:rPr>
          <w:rFonts w:ascii="Times New Roman" w:hAnsi="Times New Roman"/>
          <w:color w:val="000000"/>
          <w:sz w:val="20"/>
        </w:rPr>
      </w:pPr>
      <w:r>
        <w:rPr>
          <w:rFonts w:ascii="Times New Roman" w:hAnsi="Times New Roman"/>
          <w:color w:val="000000"/>
          <w:sz w:val="20"/>
        </w:rPr>
        <w:t>In addition to the requirement that a Threshold Condition be met, the Repurchase Agreement requires that the Company meet certain other eligibility conditions in order to exercise the purchase option in the future, including compliance with the terms of the original ECIP purchase agreement and the terms of the Preferred Stock, maintaining qualification as either a CDFI or an MDI, and meeting other legal and regulatory criteria. Although the Company currently meets the general eligibility criteria, other than satisfying one of the Threshold Conditions, there can be no assurance that the Company will meet such criteria, or any amended or additional criteria that may be imposed, in the future.</w:t>
      </w:r>
    </w:p>
    <w:p>
      <w:pPr>
        <w:pStyle w:val="TextBody"/>
        <w:bidi w:val="0"/>
        <w:jc w:val="both"/>
        <w:rPr>
          <w:rFonts w:ascii="Times New Roman" w:hAnsi="Times New Roman"/>
          <w:color w:val="000000"/>
          <w:sz w:val="20"/>
        </w:rPr>
      </w:pPr>
      <w:r>
        <w:rPr>
          <w:rFonts w:ascii="Times New Roman" w:hAnsi="Times New Roman"/>
          <w:color w:val="000000"/>
          <w:sz w:val="20"/>
        </w:rPr>
        <w:t>The Company believes that consummation of the repurchase of the Preferred Stock as contemplated by the Repurchase Agreement would be beneficial to its stockholders. As such, the Company expects it continue to emphasize its qualified Deep Impact Lending.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purchase option granted under the agreement is a freestanding financial instrument under GAAP. The Company analyzed the fair value of the repurchase option in accordance with ASC Topic 820 “Fair Value Measurements” and determined that the purchase option value is de minimis as of December 20, 2024, December 31, 2025 and March 31, 2026.</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CDFI Financial Assistance Award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6, 2025, the Bank received a $1.3 million grant from the U.S. Treasury as part of the CDFI Financial Assistance Award Program. This award is given to CDFIs to support their operations and expand services in economically distressed communities.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Banking Development District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Bank's Westchester Avenue Branch located at 2244 Westchester Avenue in the Castle Hill area of the Bronx was approved as a Banking Development District ("BDD"). New York State’s BDD Program, administered by the Department of Financial Services ("DFS"), supports the establishment of bank and credit union branches in areas across New York State where there is a demonstrated need for banking services. To encourage participation, approved BDD branches receive access to subsidized and market rate deposits from New York State. On July 30, 2024, Ponce Bank received total program deposits of $35.0 million. On June 24, 2025, the Bank received an additional $10.0 million from the New York City Department of Finance resulting in a total BDD Program deposit of $45.0 million.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4, 2026, the Bank's Inwood Branch location 3879 9th Avenue in the Inwood area of New York was approved as a BDD by the DFS. In April of 2026, the Bank received additional program deposits of $35.0 million for the Inwood location.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Westchester Avenue Branch Re-Design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27, 2025, Ponce Bank officers and administrators and members of the public celebrated the Bank’s transformed Westchester Avenue Branch at its grand reopening. The transformed Branch is the result of the State-of-the-art Banking Technologies combined with Community Centric Banking that is customer friendly and supportive. </w:t>
      </w:r>
    </w:p>
    <w:p>
      <w:pPr>
        <w:pStyle w:val="TextBody"/>
        <w:bidi w:val="0"/>
        <w:jc w:val="both"/>
        <w:rPr>
          <w:rFonts w:ascii="Times New Roman" w:hAnsi="Times New Roman"/>
          <w:color w:val="000000"/>
          <w:sz w:val="20"/>
        </w:rPr>
      </w:pPr>
      <w:r>
        <w:rPr>
          <w:rFonts w:ascii="Times New Roman" w:hAnsi="Times New Roman"/>
          <w:color w:val="000000"/>
          <w:sz w:val="20"/>
        </w:rPr>
        <w:t>The transformation relaunched a process aimed at reinforcing the role of each banking branch as a "community hub" that attracts new depositors and business customers, but anchors Ponce Bank branches as community-centric destinations. The revitalization efforts include Open Tellers that invite a more consultative experience, managers located at a central hub of the branch, private space for sensitive conversations, and meeting spaces as well as open areas with teleconferencing and AV equipment to encourage community-wide gatherings.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Inwood, New York Branch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September 16</w:t>
      </w:r>
      <w:r>
        <w:rPr>
          <w:rFonts w:ascii="Times New Roman" w:hAnsi="Times New Roman"/>
          <w:color w:val="C82613"/>
          <w:sz w:val="20"/>
        </w:rPr>
        <w:t>,</w:t>
      </w:r>
      <w:r>
        <w:rPr>
          <w:rFonts w:ascii="Times New Roman" w:hAnsi="Times New Roman"/>
          <w:color w:val="000000"/>
          <w:sz w:val="20"/>
        </w:rPr>
        <w:t xml:space="preserve"> 2025, Ponce Bank opened another branch at its new location 3879 9th Avenue, New York, NY 10034. With its ribbon cutting ceremony on October 6, 2025, the Bank noted that this new branch at this Inwood location will create opportunities for residents and small business owners in one of Manhattan's most vibrant and diverse neighborhoods.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Ponce Bank Conversion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10, 2025, the Company's wholly-owned subsidiary, Ponce Bank (formerly a federally chartered stock savings association), completed its previously announced conversion to a national bank and commenced operations as Ponce Bank, National Association. In connection with the conversion of Ponce Bank, the Company also commenced operations as a bank holding company as of the same date. Further, the Company also became a financial holding company, which is an additional election that allows the Company to engage in activities that are financial in nature or incidental to a financial activity.</w:t>
      </w:r>
    </w:p>
    <w:p>
      <w:pPr>
        <w:pStyle w:val="TextBody"/>
        <w:bidi w:val="0"/>
        <w:jc w:val="both"/>
        <w:rPr>
          <w:rFonts w:ascii="Times New Roman" w:hAnsi="Times New Roman"/>
          <w:color w:val="000000"/>
          <w:sz w:val="20"/>
        </w:rPr>
      </w:pPr>
      <w:r>
        <w:rPr>
          <w:rFonts w:ascii="Times New Roman" w:hAnsi="Times New Roman"/>
          <w:color w:val="000000"/>
          <w:sz w:val="20"/>
        </w:rPr>
        <w:t>Ponce Bank sought to become a national bank in order to increase bank powers, including its eligibility to receive municipal deposits in New York. However, the Company and Ponce Bank do not expect any material changes in their core business as a result of the Company becoming a bank holding company and a financial holding company, and Ponce Bank becoming a national bank.</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Accounting estimates are necessary in the application of certain accounting policies and procedures and are particularly susceptible to significant change. Critical accounting policies are defined as those involving significant judgments and assumptions by management and that could have a material impact on the carrying value of certain assets, liabilities or on income under different assumptions or conditions. Management believes that the most critical accounting policy relates to the allowance for credit losses.</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Allowance for credit losses in accordance with ASU 2016-13, Measurement of Credit Losses on Financial Instruments (Topic 326), was a critical accounting policy in the preparation of the consolidated financial statements as of and for the period ended March 31, 2026.</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40"/>
        <w:jc w:val="both"/>
        <w:rPr>
          <w:rFonts w:ascii="Times New Roman" w:hAnsi="Times New Roman"/>
          <w:sz w:val="20"/>
        </w:rPr>
      </w:pPr>
      <w:r>
        <w:rPr>
          <w:rFonts w:ascii="Times New Roman" w:hAnsi="Times New Roman"/>
          <w:b/>
          <w:i/>
          <w:color w:val="000000"/>
          <w:sz w:val="20"/>
        </w:rPr>
        <w:t>Allowance for credit loss</w:t>
      </w:r>
      <w:r>
        <w:rPr>
          <w:rFonts w:ascii="Times New Roman" w:hAnsi="Times New Roman"/>
          <w:color w:val="000000"/>
          <w:sz w:val="20"/>
        </w:rPr>
        <w:t>. The ACL on loans is management's estimate of expected credit losses over the expected life of the loans at the reporting date. The ACL on loans is increased through a provision for credit losses (“PCL”) recognized in the Consolidated Statements of Operations and by recoveries of amounts previously charged off. The ACL on loans is reduced by charge-offs on loans. Loan charge-offs are recognized when Management believes the collectability of the principal balance outstanding is unlikely. Full or partial charge-offs on collateral-dependent individually analyzed loans are generally recognized when the collateral is deemed to be insufficient to support the carrying value of the loan.</w:t>
      </w:r>
    </w:p>
    <w:p>
      <w:pPr>
        <w:pStyle w:val="TextBody"/>
        <w:bidi w:val="0"/>
        <w:jc w:val="both"/>
        <w:rPr>
          <w:rFonts w:ascii="Times New Roman" w:hAnsi="Times New Roman"/>
          <w:color w:val="000000"/>
          <w:sz w:val="20"/>
        </w:rPr>
      </w:pPr>
      <w:r>
        <w:rPr>
          <w:rFonts w:ascii="Times New Roman" w:hAnsi="Times New Roman"/>
          <w:color w:val="000000"/>
          <w:sz w:val="20"/>
        </w:rPr>
        <w:t xml:space="preserve">Policies with respect to the methodology used to determine the allowance for credit losses is a critical accounting policy and estimate because of its importance to presentation of the Company's financial condition and results of operations and high level of subjectivity. The critical accounting policy involves a higher degree of complexity and requires management to make difficult and subjective judgments which often require assumptions or estimates about highly uncertain matters. The use of different judgments, assumptions, and estimates could result in material differences in the results of operations or financial condition. The allowance for credit losses policy and its application is reviewed periodically, and at least annually, with the Audit Committee of the Board of Directors.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If our loss rate factor was to increase 10 basis points, our reserve would increase by approximately $2.7 million. Likewise, if our loss rate factor was to decrease 10 basis points, our reserve would decrease by approximately $2.7 million.</w:t>
      </w:r>
    </w:p>
    <w:p>
      <w:pPr>
        <w:pStyle w:val="TextBody"/>
        <w:bidi w:val="0"/>
        <w:jc w:val="both"/>
        <w:rPr>
          <w:rFonts w:ascii="Times New Roman" w:hAnsi="Times New Roman"/>
          <w:color w:val="000000"/>
          <w:sz w:val="20"/>
        </w:rPr>
      </w:pPr>
      <w:r>
        <w:rPr>
          <w:rFonts w:ascii="Times New Roman" w:hAnsi="Times New Roman"/>
          <w:color w:val="000000"/>
          <w:sz w:val="20"/>
        </w:rPr>
        <w:t>The discussion and analysis of the financial condition and results of operations are based on the Company’s consolidated financial statements, which are prepared in conformity with GAAP. The preparation of these consolidated financial statements requires management to make estimates and assumptions affecting the reported amounts of assets and liabilities, disclosure of contingent assets and liabilities, and the reported amounts of income and expenses. The estimates and assumptions used are based on historical experience and various other factors and are believed to be reasonable under the circumstances. Actual results may differ from these estimates under different assumptions or conditions, resulting in a change that could have a material impact on the carrying value of our assets and liabilities and our results of operations.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Company's Growth</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continues its relationship with Raisin Solutions US LLC ("Raisin"), a fintech that focuses on gathering deposits for financial institutions through the Internet. As of March 31, 2026 and December 31, 2025, the Company had $678.4 million and $643.9 million, respectively, in such deposits, which the Company classifies as core deposits.</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the Company, through Ponce Bank, is an MDI and a CDFI, deposits made by other financial institutions may be treated as CRA credits by those depository institutions.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At December 31, 2018, the first year after our initial public offering, the Company had approximately $1.06 billion in assets, $918.5 million in loans, net of allowance for credit losses of $12.7 million, and $809.8 million in deposits. The Company has since grown to $3.30 billion in assets, $2.70 billion in loans, net of allowance for credit losses of $26.2 million, and $2.13 billion in deposits at March 31, 2026, all while investing in infrastructure, implementing digital banking and diversifying its product offering. Now, the Company believes that it is poised to enhance its presence, locally and in similar communities outside New York, as a leading CDFI and MDI financial institution holding company.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Asset Quality Ratios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indicates the Key Metrics at or for the three months ended: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537"/>
        <w:gridCol w:w="146"/>
        <w:gridCol w:w="168"/>
        <w:gridCol w:w="778"/>
        <w:gridCol w:w="319"/>
        <w:gridCol w:w="146"/>
        <w:gridCol w:w="243"/>
        <w:gridCol w:w="960"/>
        <w:gridCol w:w="319"/>
        <w:gridCol w:w="146"/>
        <w:gridCol w:w="188"/>
        <w:gridCol w:w="739"/>
        <w:gridCol w:w="319"/>
        <w:gridCol w:w="197"/>
      </w:tblGrid>
      <w:tr>
        <w:trPr/>
        <w:tc>
          <w:tcPr>
            <w:tcW w:w="5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or for the Three Months Ended</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on loans as a percentage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Allowance for credit losses on loans as a percentage of nonperforming loans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(charge-offs) recoveries to average outstanding loans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 as a percentage of total gross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Allowance for credit losses on loans as a percentage of nonperforming loans increased for the three months ended March 31, 2026 as a result of an increase in allowance for credit losses on loans to $26.2 million and a decrease in nonperforming loans to $20.4 million.</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Annualized.</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Comparison of Financial Condition at March 31, 2026 and December 31, 2025</w:t>
      </w:r>
    </w:p>
    <w:p>
      <w:pPr>
        <w:pStyle w:val="TextBody"/>
        <w:bidi w:val="0"/>
        <w:spacing w:before="120" w:after="283"/>
        <w:jc w:val="both"/>
        <w:rPr>
          <w:rFonts w:ascii="Times New Roman" w:hAnsi="Times New Roman"/>
          <w:sz w:val="20"/>
        </w:rPr>
      </w:pPr>
      <w:r>
        <w:rPr>
          <w:rFonts w:ascii="Times New Roman" w:hAnsi="Times New Roman"/>
          <w:b/>
          <w:i/>
          <w:color w:val="000000"/>
          <w:sz w:val="20"/>
        </w:rPr>
        <w:t>Total Assets</w:t>
      </w:r>
      <w:r>
        <w:rPr>
          <w:rFonts w:ascii="Times New Roman" w:hAnsi="Times New Roman"/>
          <w:color w:val="000000"/>
          <w:sz w:val="20"/>
        </w:rPr>
        <w:t xml:space="preserve">. Total consolidated assets increased $76.8 million, or 2.4%, to $3.30 billion at March 31, 2026 from $3.22 billion at December 31, 2025. The increase in total assets is largely attributable to increases of $99.4 million in net loans receivable, $2.0 million in other assets, $1.4 million in accrued interest receivable and $0.2 million in deferred tax assets, partially offset by decreases of $9.5 million in held-to-maturity securities, $8.9 million in cash and cash equivalents, $5.0 million in available-for-sale securities, $1.3 million in mortgage loans held for sale, $1.1 million in Federal Home Loan Bank of New York stock and $0.5 million in premises and equipment, net. </w:t>
      </w:r>
    </w:p>
    <w:p>
      <w:pPr>
        <w:pStyle w:val="TextBody"/>
        <w:bidi w:val="0"/>
        <w:spacing w:before="12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Cash and cash equivalents decreased $8.9 million, or 7.1%, to $117.2 million at March 31, 2026, compared to $126.2 million at December 31, 2025. The decrease in cash and cash equivalents was primarily the result of an increase of $101.8 million in net loans and $25.0 million in net repayment of borrowings, increases of $2.0 million in other assets and $1.4 million in accrued interest receivable. The decrease in cash and cash equivalents was offset primarily by an increase of $87.2 million in net deposits, $14.7 million in proceeds from maturities, calls and principal repayment on securities, an increase of $3.8 million in other liabilities, decreases of $1.4 million in loans held for sale and $1.1 million from sale of loans. </w:t>
      </w:r>
    </w:p>
    <w:p>
      <w:pPr>
        <w:pStyle w:val="TextBody"/>
        <w:bidi w:val="0"/>
        <w:spacing w:before="200" w:after="283"/>
        <w:jc w:val="both"/>
        <w:rPr>
          <w:rFonts w:ascii="Times New Roman" w:hAnsi="Times New Roman"/>
          <w:sz w:val="20"/>
        </w:rPr>
      </w:pPr>
      <w:r>
        <w:rPr>
          <w:rFonts w:ascii="Times New Roman" w:hAnsi="Times New Roman"/>
          <w:b/>
          <w:i/>
          <w:color w:val="000000"/>
          <w:sz w:val="20"/>
        </w:rPr>
        <w:t>Securities.</w:t>
      </w:r>
      <w:r>
        <w:rPr>
          <w:rFonts w:ascii="Times New Roman" w:hAnsi="Times New Roman"/>
          <w:color w:val="000000"/>
          <w:sz w:val="20"/>
        </w:rPr>
        <w:t xml:space="preserve"> The Company securities portfolio decreased $5.0 million, or 5.5%, to $87.2 million in available-for-sale at March 31, 2026 from $92.2 million December 31, 2025 and decreased $9.5 million, or 3.5%, to $263.5 million in held-to-maturity at March 31, 2026 from $273.0 million at December 31, 2025. The decrease in the securities portfolio was primarily due to regular principal payments and the maturity of one available-for-sale security in the amount of $3.0 million.</w:t>
      </w:r>
    </w:p>
    <w:p>
      <w:pPr>
        <w:pStyle w:val="TextBody"/>
        <w:bidi w:val="0"/>
        <w:spacing w:before="200" w:after="200"/>
        <w:jc w:val="both"/>
        <w:rPr>
          <w:rFonts w:ascii="Times New Roman" w:hAnsi="Times New Roman"/>
          <w:sz w:val="20"/>
        </w:rPr>
      </w:pPr>
      <w:r>
        <w:rPr>
          <w:rFonts w:ascii="Times New Roman" w:hAnsi="Times New Roman"/>
          <w:b/>
          <w:i/>
          <w:color w:val="000000"/>
          <w:sz w:val="20"/>
        </w:rPr>
        <w:t>Portfolio Maturities and Yields</w:t>
      </w:r>
      <w:r>
        <w:rPr>
          <w:rFonts w:ascii="Times New Roman" w:hAnsi="Times New Roman"/>
          <w:color w:val="000000"/>
          <w:sz w:val="20"/>
        </w:rPr>
        <w:t>. The composition and maturities of the investment securities portfolio at March 31, 2026 are summarized in the following table. Maturities are based on the final contractual payment dates, and do not reflect the effect of scheduled principal repayments, prepayments, or early redemptions that may occur. Adjustable-rate mortgage-backed securities are included in the period in which interest rates are next scheduled to adjust. The weighted average yield is calculated based on the yield to maturity weighted for the size of each debt security over the entire portfolio of debt securities. The weighted average yields on tax-exempt obligations have been computed on a tax-equivalent basis.</w:t>
      </w:r>
    </w:p>
    <w:tbl>
      <w:tblPr>
        <w:tblW w:w="16418" w:type="dxa"/>
        <w:jc w:val="left"/>
        <w:tblInd w:w="0" w:type="dxa"/>
        <w:tblLayout w:type="fixed"/>
        <w:tblCellMar>
          <w:top w:w="28" w:type="dxa"/>
          <w:left w:w="28" w:type="dxa"/>
          <w:bottom w:w="28" w:type="dxa"/>
          <w:right w:w="28" w:type="dxa"/>
        </w:tblCellMar>
      </w:tblPr>
      <w:tblGrid>
        <w:gridCol w:w="1526"/>
        <w:gridCol w:w="146"/>
        <w:gridCol w:w="232"/>
        <w:gridCol w:w="444"/>
        <w:gridCol w:w="546"/>
        <w:gridCol w:w="546"/>
        <w:gridCol w:w="178"/>
        <w:gridCol w:w="423"/>
        <w:gridCol w:w="211"/>
        <w:gridCol w:w="146"/>
        <w:gridCol w:w="193"/>
        <w:gridCol w:w="483"/>
        <w:gridCol w:w="146"/>
        <w:gridCol w:w="146"/>
        <w:gridCol w:w="173"/>
        <w:gridCol w:w="428"/>
        <w:gridCol w:w="611"/>
        <w:gridCol w:w="681"/>
        <w:gridCol w:w="181"/>
        <w:gridCol w:w="526"/>
        <w:gridCol w:w="306"/>
        <w:gridCol w:w="306"/>
        <w:gridCol w:w="173"/>
        <w:gridCol w:w="428"/>
        <w:gridCol w:w="211"/>
        <w:gridCol w:w="146"/>
        <w:gridCol w:w="181"/>
        <w:gridCol w:w="601"/>
        <w:gridCol w:w="546"/>
        <w:gridCol w:w="546"/>
        <w:gridCol w:w="173"/>
        <w:gridCol w:w="428"/>
        <w:gridCol w:w="211"/>
        <w:gridCol w:w="146"/>
        <w:gridCol w:w="181"/>
        <w:gridCol w:w="601"/>
        <w:gridCol w:w="151"/>
        <w:gridCol w:w="146"/>
        <w:gridCol w:w="181"/>
        <w:gridCol w:w="601"/>
        <w:gridCol w:w="466"/>
        <w:gridCol w:w="466"/>
        <w:gridCol w:w="173"/>
        <w:gridCol w:w="428"/>
        <w:gridCol w:w="656"/>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One Year or Less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One Year</w:t>
              <w:br/>
              <w:t>through Five Years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Five Years</w:t>
              <w:br/>
              <w:t>through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More than Ten 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Amortized</w:t>
              <w:b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br/>
              <w:t>Value</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Weighted</w:t>
              <w:br/>
              <w:t>Average</w:t>
              <w:br/>
              <w:t>Yield</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0" w:type="dxa"/>
            <w:gridSpan w:val="4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Available-for-Sale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12,942</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Mortgage-Backed</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imes New Roman" w:hAnsi="Times New Roman"/>
                <w:color w:val="000000"/>
                <w:sz w:val="15"/>
              </w:rPr>
              <w:t xml:space="preserve">Collateralized Mortgage Obligations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30,077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25,583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6,870</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3,744</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45,670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41,679</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GNMA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5.23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13,244</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83,482</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87,150</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 xml:space="preserve">Held-to-Maturity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7,333</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Mortgage-Backed</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imes New Roman" w:hAnsi="Times New Roman"/>
                <w:color w:val="000000"/>
                <w:sz w:val="15"/>
              </w:rPr>
              <w:t xml:space="preserve">Collateralized Mortgage Obligations </w:t>
            </w:r>
            <w:r>
              <w:rPr>
                <w:rFonts w:ascii="Times New Roman" w:hAnsi="Times New Roman"/>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152,800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155,070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151,657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FHLMC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3,030</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FNMA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81,506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85,313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w:t>
            </w:r>
          </w:p>
        </w:tc>
        <w:tc>
          <w:tcPr>
            <w:tcW w:w="6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SBA 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4,019</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6,592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10,674</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w:t>
            </w:r>
          </w:p>
        </w:tc>
        <w:tc>
          <w:tcPr>
            <w:tcW w:w="6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11,519</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244,005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258,007</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Comprised of Federal Home Loan Mortgage Corporation (“FHLMC”), Federal National Mortgage Association (“FNMA”) and Ginnie Mae (“GNMA”) issued securities.</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Gross Loans Receivable. </w:t>
      </w:r>
      <w:r>
        <w:rPr>
          <w:rFonts w:ascii="Times New Roman" w:hAnsi="Times New Roman"/>
          <w:color w:val="000000"/>
          <w:sz w:val="20"/>
        </w:rPr>
        <w:t>The composition of gross loans receivable at March 31, 2026 and at December 31, 2025 and the percentage of each classification to total loans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84"/>
        <w:gridCol w:w="146"/>
        <w:gridCol w:w="211"/>
        <w:gridCol w:w="931"/>
        <w:gridCol w:w="146"/>
        <w:gridCol w:w="146"/>
        <w:gridCol w:w="146"/>
        <w:gridCol w:w="571"/>
        <w:gridCol w:w="271"/>
        <w:gridCol w:w="146"/>
        <w:gridCol w:w="211"/>
        <w:gridCol w:w="931"/>
        <w:gridCol w:w="146"/>
        <w:gridCol w:w="146"/>
        <w:gridCol w:w="146"/>
        <w:gridCol w:w="571"/>
        <w:gridCol w:w="271"/>
        <w:gridCol w:w="146"/>
        <w:gridCol w:w="211"/>
        <w:gridCol w:w="781"/>
        <w:gridCol w:w="166"/>
        <w:gridCol w:w="146"/>
        <w:gridCol w:w="146"/>
        <w:gridCol w:w="526"/>
        <w:gridCol w:w="763"/>
      </w:tblGrid>
      <w:tr>
        <w:trPr/>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1-4 Family residential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w:t>
            </w:r>
          </w:p>
        </w:tc>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1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both investor owned and owner occupied 1-4 family residential properties combined, which were previously reported separately.</w:t>
      </w:r>
    </w:p>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i/>
          <w:color w:val="000000"/>
          <w:sz w:val="20"/>
        </w:rPr>
        <w:t xml:space="preserve">Contractual Maturities. </w:t>
      </w:r>
      <w:r>
        <w:rPr>
          <w:rFonts w:ascii="Times New Roman" w:hAnsi="Times New Roman"/>
          <w:color w:val="000000"/>
          <w:sz w:val="20"/>
        </w:rPr>
        <w:t>The following table sets forth the contractual maturities of the Bank’s total loan portfolio, excluding mortgage loans held for sale, at March 31, 2026. Demand loans, loans having no stated repayment schedule or maturity, and overdraft loans are reported as being due in one year or less. The table presents contractual maturities and does not reflect repricing or the effect of prepayments. Actual maturities may differ.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9"/>
        <w:gridCol w:w="146"/>
        <w:gridCol w:w="196"/>
        <w:gridCol w:w="691"/>
        <w:gridCol w:w="146"/>
        <w:gridCol w:w="146"/>
        <w:gridCol w:w="217"/>
        <w:gridCol w:w="768"/>
        <w:gridCol w:w="146"/>
        <w:gridCol w:w="146"/>
        <w:gridCol w:w="398"/>
        <w:gridCol w:w="1403"/>
        <w:gridCol w:w="146"/>
        <w:gridCol w:w="146"/>
        <w:gridCol w:w="329"/>
        <w:gridCol w:w="1164"/>
        <w:gridCol w:w="146"/>
        <w:gridCol w:w="146"/>
        <w:gridCol w:w="196"/>
        <w:gridCol w:w="826"/>
        <w:gridCol w:w="794"/>
      </w:tblGrid>
      <w:tr>
        <w:trPr/>
        <w:tc>
          <w:tcPr>
            <w:tcW w:w="1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 March 31, 2026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One year</w:t>
              <w:br/>
              <w:t>or less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w:t>
              <w:br/>
              <w:t>one year</w:t>
              <w:br/>
              <w:t> to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 Five to Fifteen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More than Fifteen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431,377</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915,333</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534,256</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763,990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2,644,956</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80,366</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80,962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190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558,017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2,725,918</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 table sets forth the Bank's fixed and adjustable-rate loans at March 31, 2026 that are contractually due after March 31, 2027.</w:t>
      </w:r>
    </w:p>
    <w:tbl>
      <w:tblPr>
        <w:tblW w:w="6728" w:type="dxa"/>
        <w:jc w:val="left"/>
        <w:tblInd w:w="0" w:type="dxa"/>
        <w:tblLayout w:type="fixed"/>
        <w:tblCellMar>
          <w:top w:w="28" w:type="dxa"/>
          <w:left w:w="28" w:type="dxa"/>
          <w:bottom w:w="28" w:type="dxa"/>
          <w:right w:w="28" w:type="dxa"/>
        </w:tblCellMar>
      </w:tblPr>
      <w:tblGrid>
        <w:gridCol w:w="2276"/>
        <w:gridCol w:w="146"/>
        <w:gridCol w:w="196"/>
        <w:gridCol w:w="691"/>
        <w:gridCol w:w="146"/>
        <w:gridCol w:w="146"/>
        <w:gridCol w:w="196"/>
        <w:gridCol w:w="826"/>
        <w:gridCol w:w="146"/>
        <w:gridCol w:w="146"/>
        <w:gridCol w:w="196"/>
        <w:gridCol w:w="826"/>
        <w:gridCol w:w="79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Due After March 31, 2027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Fixed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Adjustable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428,297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736,728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515,368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245,387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1,925,780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1,986,762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current internal loan reviews, the Company believes that the quality of our underwriting, our weighted average loan-to-value ratio of 50.5% and our customer selection processes have served us well and provided us with a reliable base with which to maintain a well-protected loan portfolio.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Multifamily residential loans increased $158.8 million, or 21.0%, when compared to December 31, 2025. The majority of the increases in multifamily residential loans that were refinanced from construction and land loans to a new permanent loan facility. </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Construction and land loans decreased $90.1 million, or 10.5%, when compared to December 31, 2025. The $90.1 million decrease in construction and land mortgage loans is related to loans that were refinanced from construction and land loans to new permanent loan facilities, offset by funding of existing commitments prior to 2026 and new commitments.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commitments to grant new mortgage loans increased by $48.1 million as of March 31, 2026 compared to December 31, 2025. See Note 10 ("Commitments, Contingencies and Credit Risk") of Notes to the Consolidated Financial Statements. </w:t>
      </w:r>
    </w:p>
    <w:p>
      <w:pPr>
        <w:pStyle w:val="TextBody"/>
        <w:bidi w:val="0"/>
        <w:jc w:val="both"/>
        <w:rPr>
          <w:rFonts w:ascii="Times New Roman" w:hAnsi="Times New Roman"/>
          <w:color w:val="000000"/>
          <w:sz w:val="20"/>
        </w:rPr>
      </w:pPr>
      <w:r>
        <w:rPr>
          <w:rFonts w:ascii="Times New Roman" w:hAnsi="Times New Roman"/>
          <w:color w:val="000000"/>
          <w:sz w:val="20"/>
        </w:rPr>
        <w:t>The Company had 68 construction and land mortgage loans with balances of $764.0 million as indicated in the table above. Of those loans, 29 loans with aggregate balances of $380.2 million, or 49.8%, of the total, have a percentage of completion of 80% or more. Within those 29 loans there are 14 loans with balances of $193.3 million that are 100% completed and 13 of these properties received their certificates of occupancy.</w:t>
      </w:r>
    </w:p>
    <w:p>
      <w:pPr>
        <w:pStyle w:val="TextBody"/>
        <w:bidi w:val="0"/>
        <w:jc w:val="both"/>
        <w:rPr>
          <w:rFonts w:ascii="Times New Roman" w:hAnsi="Times New Roman"/>
          <w:color w:val="000000"/>
          <w:sz w:val="20"/>
        </w:rPr>
      </w:pPr>
      <w:r>
        <w:rPr>
          <w:rFonts w:ascii="Times New Roman" w:hAnsi="Times New Roman"/>
          <w:color w:val="000000"/>
          <w:sz w:val="20"/>
        </w:rPr>
        <w:t xml:space="preserve">Commercial real estate loans, as defined by applicable banking regulations, include multifamily residential, nonresidential properties, and construction and land mortgage loans. At March 31, 2026 and December 31, 2025, approximately 2.9% and 3.1%, respectively, of the outstanding principal balance of the Bank’s commercial real estate mortgage loans were secured by owner-occupied commercial real estate. Owner-occupied commercial real estate is similar in many ways to commercial and industrial lending in that these loans are generally made to businesses predominantly on the basis of the cash flows of the business rather than on valuation of the real estate.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Banking regulations have established guidelines relating to the amount of construction and land mortgage loans and investor- owned commercial real estate mortgage loans of 100% and 300% of total risk-based capital, respectively. Should a bank’s ratios be in excess of these guidelines, banking regulations generally require an increased level of monitoring in these lending areas by bank management. The Bank’s policy is to operate within the 200% guideline for construction and land mortgage loans and up to 450% for investor-owned commercial real estate mortgage loans. Both ratios are calculated by dividing certain types of loan balances for each of the two categories by the Bank’s total risk-based capital. At March 31, 2026 and December 31, 2025, the Bank’s construction and land mortgage loans as a percentage of total risk-based capital was 137.2% and 156.7%, respectively. Investor-owned commercial real estate mortgage loans as a percentage of total risk-based capital was 399.0% and 393.1% as of March 31, 2026 and December 31, 2025, respectively. At March 31, 2026, the Bank was above the 100% guidelines established by the banking regulations and under the 200% guidelines set by the Bank for construction and land mortgage loans and above the 300% guideline established by banking regulators but under the 450% guidelines set by the Bank for investor owned commercial real estate mortgage loans. Management believes that it has established the appropriate level of controls to monitor the Bank’s lending in these areas. </w:t>
      </w:r>
    </w:p>
    <w:p>
      <w:pPr>
        <w:pStyle w:val="TextBody"/>
        <w:bidi w:val="0"/>
        <w:spacing w:before="240" w:after="283"/>
        <w:jc w:val="both"/>
        <w:rPr>
          <w:rFonts w:ascii="Times New Roman" w:hAnsi="Times New Roman"/>
          <w:sz w:val="20"/>
        </w:rPr>
      </w:pPr>
      <w:r>
        <w:rPr>
          <w:rFonts w:ascii="Times New Roman" w:hAnsi="Times New Roman"/>
          <w:b/>
          <w:i/>
          <w:color w:val="000000"/>
          <w:sz w:val="20"/>
        </w:rPr>
        <w:t>Allocation of Allowance for Credit Losses.</w:t>
      </w:r>
      <w:r>
        <w:rPr>
          <w:rFonts w:ascii="Times New Roman" w:hAnsi="Times New Roman"/>
          <w:color w:val="000000"/>
          <w:sz w:val="20"/>
        </w:rPr>
        <w:t xml:space="preserve"> The table below presents a breakdown of the allowance for credit losses by loan class.</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109" w:type="dxa"/>
        <w:jc w:val="left"/>
        <w:tblInd w:w="0" w:type="dxa"/>
        <w:tblLayout w:type="fixed"/>
        <w:tblCellMar>
          <w:top w:w="28" w:type="dxa"/>
          <w:left w:w="28" w:type="dxa"/>
          <w:bottom w:w="28" w:type="dxa"/>
          <w:right w:w="28" w:type="dxa"/>
        </w:tblCellMar>
      </w:tblPr>
      <w:tblGrid>
        <w:gridCol w:w="2276"/>
        <w:gridCol w:w="146"/>
        <w:gridCol w:w="316"/>
        <w:gridCol w:w="974"/>
        <w:gridCol w:w="146"/>
        <w:gridCol w:w="146"/>
        <w:gridCol w:w="351"/>
        <w:gridCol w:w="1239"/>
        <w:gridCol w:w="256"/>
        <w:gridCol w:w="146"/>
        <w:gridCol w:w="316"/>
        <w:gridCol w:w="974"/>
        <w:gridCol w:w="166"/>
        <w:gridCol w:w="166"/>
        <w:gridCol w:w="351"/>
        <w:gridCol w:w="1239"/>
        <w:gridCol w:w="901"/>
      </w:tblGrid>
      <w:tr>
        <w:trPr/>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 2025</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Loans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Loans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Each Category</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Each Category</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 Total Loans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 Total Loans</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Loans</w:t>
      </w:r>
      <w:r>
        <w:rPr>
          <w:rFonts w:ascii="Times New Roman" w:hAnsi="Times New Roman"/>
          <w:color w:val="000000"/>
          <w:sz w:val="20"/>
        </w:rPr>
        <w:t xml:space="preserve"> </w:t>
      </w:r>
      <w:r>
        <w:rPr>
          <w:rFonts w:ascii="Times New Roman" w:hAnsi="Times New Roman"/>
          <w:b/>
          <w:i/>
          <w:color w:val="000000"/>
          <w:sz w:val="20"/>
        </w:rPr>
        <w:t>Held For Sale</w:t>
      </w:r>
      <w:r>
        <w:rPr>
          <w:rFonts w:ascii="Times New Roman" w:hAnsi="Times New Roman"/>
          <w:color w:val="000000"/>
          <w:sz w:val="20"/>
        </w:rPr>
        <w:t>. Loans held for sale, at fair value, at March 31, 2026 decreased $1.3 million, or 37.2%, to $2.1 million from $3.4 million at December 31, 2025.</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Deposits.</w:t>
      </w:r>
      <w:r>
        <w:rPr>
          <w:rFonts w:ascii="Times New Roman" w:hAnsi="Times New Roman"/>
          <w:color w:val="000000"/>
          <w:sz w:val="20"/>
        </w:rPr>
        <w:t xml:space="preserve"> The composition of deposits at March 31, 2026 and December 31, 2025 and changes in dollars and percentages are summarized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87"/>
        <w:gridCol w:w="146"/>
        <w:gridCol w:w="196"/>
        <w:gridCol w:w="826"/>
        <w:gridCol w:w="146"/>
        <w:gridCol w:w="146"/>
        <w:gridCol w:w="146"/>
        <w:gridCol w:w="511"/>
        <w:gridCol w:w="256"/>
        <w:gridCol w:w="146"/>
        <w:gridCol w:w="196"/>
        <w:gridCol w:w="826"/>
        <w:gridCol w:w="146"/>
        <w:gridCol w:w="146"/>
        <w:gridCol w:w="146"/>
        <w:gridCol w:w="511"/>
        <w:gridCol w:w="256"/>
        <w:gridCol w:w="146"/>
        <w:gridCol w:w="196"/>
        <w:gridCol w:w="661"/>
        <w:gridCol w:w="166"/>
        <w:gridCol w:w="146"/>
        <w:gridCol w:w="146"/>
        <w:gridCol w:w="481"/>
        <w:gridCol w:w="730"/>
      </w:tblGrid>
      <w:tr>
        <w:trPr/>
        <w:tc>
          <w:tcPr>
            <w:tcW w:w="2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Increase (Decrease)</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Total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4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NOW/IOLA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Money market accounts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Reciprocal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Savings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NOW, money market, reciprocal and 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Certificates of deposit of $250K 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Brokered certificates of deposit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Listing service deposits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Certificates of deposit less than $250K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60" w:after="283"/>
        <w:jc w:val="both"/>
        <w:rPr>
          <w:rFonts w:ascii="Times New Roman" w:hAnsi="Times New Roman"/>
          <w:color w:val="000000"/>
          <w:sz w:val="18"/>
        </w:rPr>
      </w:pPr>
      <w:r>
        <w:rPr>
          <w:rFonts w:ascii="Times New Roman" w:hAnsi="Times New Roman"/>
          <w:color w:val="000000"/>
          <w:sz w:val="18"/>
        </w:rPr>
        <w:t>As of March 31, 2026 and December 31, 2025, there were $0.3 million each in brokered deposits.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 xml:space="preserve">At March 31, 2026 and December 31, 2025, there were no individual listing service deposits amounting to $250,000 or more. All other brokered certificates of deposit individually amounted to less than $250,000.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wholesale funding is necessary to complement the Company's core deposit base, management determines which source is best suited to address both liquidity risk and interest rate risk in line with management objectives. The Company’s Interest Rate Risk Policy imposes limitations on overall wholesale funding and noncore funding reliance. The overall reliance on wholesale funding and noncore funding were within those policy limitations as of March 31, 2026 and December 31, 2025. The Management Asset/Liability Committee generally meets on a monthly basis to review funding needs, if any, and to ensure the Company operates within the approved limitations.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average balance and weighted average rate of deposits for the periods indicated.</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3"/>
        <w:gridCol w:w="146"/>
        <w:gridCol w:w="196"/>
        <w:gridCol w:w="826"/>
        <w:gridCol w:w="146"/>
        <w:gridCol w:w="546"/>
        <w:gridCol w:w="146"/>
        <w:gridCol w:w="601"/>
        <w:gridCol w:w="256"/>
        <w:gridCol w:w="146"/>
        <w:gridCol w:w="216"/>
        <w:gridCol w:w="625"/>
        <w:gridCol w:w="256"/>
        <w:gridCol w:w="146"/>
        <w:gridCol w:w="196"/>
        <w:gridCol w:w="826"/>
        <w:gridCol w:w="146"/>
        <w:gridCol w:w="546"/>
        <w:gridCol w:w="150"/>
        <w:gridCol w:w="526"/>
        <w:gridCol w:w="256"/>
        <w:gridCol w:w="146"/>
        <w:gridCol w:w="216"/>
        <w:gridCol w:w="625"/>
        <w:gridCol w:w="256"/>
        <w:gridCol w:w="391"/>
      </w:tblGrid>
      <w:tr>
        <w:trPr/>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4"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Rate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9"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Deposit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NOW/IOLA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Non-interest bearing demand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time deposits with balances exceeding the $250,000 Federal Deposits Insurance Corporation ("FDIC") insurance limit by maturity at March 31, 2026.</w:t>
      </w:r>
    </w:p>
    <w:p>
      <w:pPr>
        <w:pStyle w:val="TextBody"/>
        <w:bidi w:val="0"/>
        <w:spacing w:before="200" w:after="283"/>
        <w:jc w:val="both"/>
        <w:rPr/>
      </w:pPr>
      <w:r>
        <w:rPr/>
        <w:t> </w:t>
      </w:r>
    </w:p>
    <w:tbl>
      <w:tblPr>
        <w:tblW w:w="4886" w:type="dxa"/>
        <w:jc w:val="left"/>
        <w:tblInd w:w="0" w:type="dxa"/>
        <w:tblLayout w:type="fixed"/>
        <w:tblCellMar>
          <w:top w:w="28" w:type="dxa"/>
          <w:left w:w="28" w:type="dxa"/>
          <w:bottom w:w="28" w:type="dxa"/>
          <w:right w:w="28" w:type="dxa"/>
        </w:tblCellMar>
      </w:tblPr>
      <w:tblGrid>
        <w:gridCol w:w="3066"/>
        <w:gridCol w:w="233"/>
        <w:gridCol w:w="173"/>
        <w:gridCol w:w="823"/>
        <w:gridCol w:w="591"/>
      </w:tblGrid>
      <w:tr>
        <w:trPr/>
        <w:tc>
          <w:tcPr>
            <w:tcW w:w="30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Maturity Period:</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Three months or less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Over three months through six months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Over six months through one year</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More than one year</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March 31, 2026, the portion of uninsured deposits in excess of $250,000 FDIC insurance limit was $471.3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Borrowings</w:t>
      </w:r>
      <w:r>
        <w:rPr>
          <w:rFonts w:ascii="Times New Roman" w:hAnsi="Times New Roman"/>
          <w:color w:val="000000"/>
          <w:sz w:val="20"/>
        </w:rPr>
        <w:t xml:space="preserve">. The Bank had outstanding borrowings at March 31, 2026 and December 31, 2025 of $571.1 million and $596.1 million in term advances from the FHLBNY. The Bank had no overnight line of credit advance from the FHLBNY at March 31, 2026 and December 31, 2025. Additionally, the Bank had two unsecured lines of credit in the amount of $75.0 million with two correspondent banks for both periods at March 31, 2026 and December 31, 2025. The Bank did not have any term and overnight line of credit advances from the FRBNY at March 31, 2026 and December 31, 2025. </w:t>
      </w:r>
    </w:p>
    <w:p>
      <w:pPr>
        <w:pStyle w:val="TextBody"/>
        <w:bidi w:val="0"/>
        <w:spacing w:before="120" w:after="283"/>
        <w:jc w:val="both"/>
        <w:rPr>
          <w:rFonts w:ascii="Times New Roman" w:hAnsi="Times New Roman"/>
          <w:sz w:val="20"/>
        </w:rPr>
      </w:pPr>
      <w:r>
        <w:rPr>
          <w:rFonts w:ascii="Times New Roman" w:hAnsi="Times New Roman"/>
          <w:b/>
          <w:i/>
          <w:color w:val="000000"/>
          <w:sz w:val="20"/>
        </w:rPr>
        <w:t>Stockholders’ Equity</w:t>
      </w:r>
      <w:r>
        <w:rPr>
          <w:rFonts w:ascii="Times New Roman" w:hAnsi="Times New Roman"/>
          <w:color w:val="000000"/>
          <w:sz w:val="20"/>
        </w:rPr>
        <w:t xml:space="preserve">. The Company’s consolidated stockholders’ equity increased $9.8 million, or 1.8%, to $551.4 million as of March 31, 2026 from $541.5 million as of December 31, 2025. The $9.8 million increase in stockholders’ equity was largely attributable to $8.6 million in net income, $0.6 million impact to additional paid in capital as a result of share-based compensation, $0.6 million from release of ESOP shares and $0.2 million from exercise of stock options and $0.1 million in other comprehensive income, offset by $0.3 million related to dividend paid on preferred shares during the three months ended March 31, 2026.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Results of Operations for the Three Months Ended March 31,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discussion of the Company’s results of operations for the three months ended March 31, 2026 and 2025 are presented below. The results of operations for interim periods may not be indicative of future results.</w:t>
      </w:r>
    </w:p>
    <w:p>
      <w:pPr>
        <w:pStyle w:val="TextBody"/>
        <w:bidi w:val="0"/>
        <w:spacing w:before="20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Net income available to common stockholders was $8.3 million for the three months ended March 31, 2026 compared to net income available to common stockholders of $5.7 million for the three months ended March 31, 2025. Earnings per basic and diluted share was $0.36 for the three months ended March 31, 2026 compared to earnings per basic and diluted share of $0.25 for the three months ended March 31, 2025. The $2.7 million increase of net income available to common stockholders from the three months ended March 31, 2025, was due to increases of $6.0 million in net interest income, partially offset by increases of $1.9 million in provision for credit losses, $0.7 million in provision for income taxes, $0.4 million in non-interest expense and a decrease of $0.3 million in non-interest income. Net income for the three months ended March 31, 2026 and 2025, which excludes $0.3 million and $0.3 million, respectively, in dividends on preferred shares, were $8.6 million and $6.0 million, respectively.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results of operations for the periods indicated:</w:t>
      </w:r>
    </w:p>
    <w:p>
      <w:pPr>
        <w:pStyle w:val="TextBody"/>
        <w:bidi w:val="0"/>
        <w:jc w:val="both"/>
        <w:rPr/>
      </w:pPr>
      <w:r>
        <w:rPr/>
        <w:t> </w:t>
      </w:r>
    </w:p>
    <w:tbl>
      <w:tblPr>
        <w:tblW w:w="9420" w:type="dxa"/>
        <w:jc w:val="left"/>
        <w:tblInd w:w="0" w:type="dxa"/>
        <w:tblLayout w:type="fixed"/>
        <w:tblCellMar>
          <w:top w:w="28" w:type="dxa"/>
          <w:left w:w="28" w:type="dxa"/>
          <w:bottom w:w="28" w:type="dxa"/>
          <w:right w:w="28" w:type="dxa"/>
        </w:tblCellMar>
      </w:tblPr>
      <w:tblGrid>
        <w:gridCol w:w="4191"/>
        <w:gridCol w:w="146"/>
        <w:gridCol w:w="251"/>
        <w:gridCol w:w="769"/>
        <w:gridCol w:w="187"/>
        <w:gridCol w:w="187"/>
        <w:gridCol w:w="251"/>
        <w:gridCol w:w="769"/>
        <w:gridCol w:w="166"/>
        <w:gridCol w:w="146"/>
        <w:gridCol w:w="196"/>
        <w:gridCol w:w="571"/>
        <w:gridCol w:w="166"/>
        <w:gridCol w:w="146"/>
        <w:gridCol w:w="146"/>
        <w:gridCol w:w="571"/>
        <w:gridCol w:w="56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9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Increase (Decrease)</w:t>
            </w:r>
          </w:p>
        </w:tc>
        <w:tc>
          <w:tcPr>
            <w:tcW w:w="5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(Dollars in thousands)</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48,662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28,226</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(benefit)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(681.1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interest income after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income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0.36</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Interest and Dividend Income.</w:t>
      </w:r>
      <w:r>
        <w:rPr>
          <w:rFonts w:ascii="Times New Roman" w:hAnsi="Times New Roman"/>
          <w:color w:val="000000"/>
          <w:sz w:val="20"/>
        </w:rPr>
        <w:t xml:space="preserve"> Interest and dividend income increased $4.7 million, or 10.6%, to $48.7 million for the three months ended March 31, 2026 from $44.0 million for the three months ended March 31, 2025. Interest income on loans receivable, which is the Company’s primary source of income, increased $6.8 million, or 18.4%, to $44.0 million for the three months ended March 31, 2026 from $37.1 million for the three months ended March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interest and dividend income on securities, FHLBNY stock and deposits due from banks decreased $2.2 million or 31.8%, to $4.7 million for the three months ended March 31, 2026 from $6.9 million for the three months ended March 31, 2025. The decrease was primarily attributable to decreases of $1.3 million in interest on securities and $0.9 million in interest on deposits due from banks.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interest income on loans receivable for the periods indicated:</w:t>
      </w:r>
    </w:p>
    <w:p>
      <w:pPr>
        <w:pStyle w:val="TextBody"/>
        <w:bidi w:val="0"/>
        <w:jc w:val="both"/>
        <w:rPr/>
      </w:pPr>
      <w:r>
        <w:rPr/>
        <w:t> </w:t>
      </w:r>
    </w:p>
    <w:p>
      <w:pPr>
        <w:pStyle w:val="TextBody"/>
        <w:bidi w:val="0"/>
        <w:jc w:val="both"/>
        <w:rPr/>
      </w:pPr>
      <w:r>
        <w:rPr/>
        <w:t> </w:t>
      </w:r>
    </w:p>
    <w:tbl>
      <w:tblPr>
        <w:tblW w:w="9535" w:type="dxa"/>
        <w:jc w:val="left"/>
        <w:tblInd w:w="0" w:type="dxa"/>
        <w:tblLayout w:type="fixed"/>
        <w:tblCellMar>
          <w:top w:w="28" w:type="dxa"/>
          <w:left w:w="28" w:type="dxa"/>
          <w:bottom w:w="28" w:type="dxa"/>
          <w:right w:w="28" w:type="dxa"/>
        </w:tblCellMar>
      </w:tblPr>
      <w:tblGrid>
        <w:gridCol w:w="3666"/>
        <w:gridCol w:w="146"/>
        <w:gridCol w:w="304"/>
        <w:gridCol w:w="977"/>
        <w:gridCol w:w="211"/>
        <w:gridCol w:w="211"/>
        <w:gridCol w:w="304"/>
        <w:gridCol w:w="977"/>
        <w:gridCol w:w="146"/>
        <w:gridCol w:w="146"/>
        <w:gridCol w:w="211"/>
        <w:gridCol w:w="631"/>
        <w:gridCol w:w="166"/>
        <w:gridCol w:w="146"/>
        <w:gridCol w:w="146"/>
        <w:gridCol w:w="571"/>
        <w:gridCol w:w="57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 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Nonresidential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and 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 income on loans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interest and dividend income on securities and FHLBNY stock and deposits due from banks for the periods indicated: </w:t>
      </w:r>
    </w:p>
    <w:p>
      <w:pPr>
        <w:pStyle w:val="TextBody"/>
        <w:bidi w:val="0"/>
        <w:jc w:val="left"/>
        <w:rPr/>
      </w:pPr>
      <w:r>
        <w:rPr/>
        <w:t> </w:t>
      </w:r>
    </w:p>
    <w:p>
      <w:pPr>
        <w:pStyle w:val="TextBody"/>
        <w:bidi w:val="0"/>
        <w:jc w:val="both"/>
        <w:rPr/>
      </w:pPr>
      <w:r>
        <w:rPr/>
        <w:t> </w:t>
      </w:r>
    </w:p>
    <w:tbl>
      <w:tblPr>
        <w:tblW w:w="8993" w:type="dxa"/>
        <w:jc w:val="left"/>
        <w:tblInd w:w="0" w:type="dxa"/>
        <w:tblLayout w:type="fixed"/>
        <w:tblCellMar>
          <w:top w:w="28" w:type="dxa"/>
          <w:left w:w="28" w:type="dxa"/>
          <w:bottom w:w="28" w:type="dxa"/>
          <w:right w:w="28" w:type="dxa"/>
        </w:tblCellMar>
      </w:tblPr>
      <w:tblGrid>
        <w:gridCol w:w="3171"/>
        <w:gridCol w:w="146"/>
        <w:gridCol w:w="339"/>
        <w:gridCol w:w="918"/>
        <w:gridCol w:w="234"/>
        <w:gridCol w:w="234"/>
        <w:gridCol w:w="339"/>
        <w:gridCol w:w="918"/>
        <w:gridCol w:w="146"/>
        <w:gridCol w:w="146"/>
        <w:gridCol w:w="211"/>
        <w:gridCol w:w="631"/>
        <w:gridCol w:w="166"/>
        <w:gridCol w:w="146"/>
        <w:gridCol w:w="146"/>
        <w:gridCol w:w="526"/>
        <w:gridCol w:w="576"/>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on FHLBNY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4,680</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Interest expense decreased $1.4 million, or 6.2%, to $20.4 million for the three months ended March 31, 2026 from $21.8 million for the three months ended March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interest expense for the periods indicated:</w:t>
      </w:r>
    </w:p>
    <w:p>
      <w:pPr>
        <w:pStyle w:val="TextBody"/>
        <w:bidi w:val="0"/>
        <w:spacing w:before="200" w:after="283"/>
        <w:jc w:val="both"/>
        <w:rPr/>
      </w:pPr>
      <w:r>
        <w:rPr/>
        <w:t> </w:t>
      </w:r>
    </w:p>
    <w:tbl>
      <w:tblPr>
        <w:tblW w:w="7930" w:type="dxa"/>
        <w:jc w:val="left"/>
        <w:tblInd w:w="0" w:type="dxa"/>
        <w:tblLayout w:type="fixed"/>
        <w:tblCellMar>
          <w:top w:w="28" w:type="dxa"/>
          <w:left w:w="28" w:type="dxa"/>
          <w:bottom w:w="28" w:type="dxa"/>
          <w:right w:w="28" w:type="dxa"/>
        </w:tblCellMar>
      </w:tblPr>
      <w:tblGrid>
        <w:gridCol w:w="2106"/>
        <w:gridCol w:w="146"/>
        <w:gridCol w:w="304"/>
        <w:gridCol w:w="977"/>
        <w:gridCol w:w="211"/>
        <w:gridCol w:w="211"/>
        <w:gridCol w:w="304"/>
        <w:gridCol w:w="977"/>
        <w:gridCol w:w="146"/>
        <w:gridCol w:w="146"/>
        <w:gridCol w:w="211"/>
        <w:gridCol w:w="631"/>
        <w:gridCol w:w="166"/>
        <w:gridCol w:w="146"/>
        <w:gridCol w:w="146"/>
        <w:gridCol w:w="526"/>
        <w:gridCol w:w="576"/>
      </w:tblGrid>
      <w:tr>
        <w:trPr/>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NOW/IOLA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Net Interest Income.</w:t>
      </w:r>
      <w:r>
        <w:rPr>
          <w:rFonts w:ascii="Times New Roman" w:hAnsi="Times New Roman"/>
          <w:color w:val="000000"/>
          <w:sz w:val="20"/>
        </w:rPr>
        <w:t xml:space="preserve"> Net interest income increased $6.0 million, or 27.1%, to $28.2 million for the three months ended March 31, 2026 from $22.2 million for the three months ended March 31, 2025. The $6.0 million increase in net interest income for the three months ended March 31, 2026 compared to the three months ended March 31, 2025 was attributable to an increase of $4.7 million in total interest and dividend income primarily due to increases in average loans receivable and a decrease of $1.4 million in interest expense due primarily to a lower average cost of funds on interest bearing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interest rate spread increased by 66 basis points to 2.85% for the three months ended March 31, 2026 from 2.19% for the three months ended March 31, 2025. The increase in the net interest rate spread for the three months ended March 31, 2026 compared to the three months ended March 31, 2025 was primarily due to an increase in the average yields on interest-earning assets of 32 basis points to 6.23% for the three months ended March 31, 2026 from 5.90% for the three months ended March 31, 2025, and a decrease in the average rates paid on interest-bearing liabilities of 33 basis points to 3.38% for the three months ended March 31, 2026 from 3.71% for the three months ended March 31, 2025.</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margin increased 63 basis points for the three months ended March 31, 2026, to 3.61% from 2.98% for the three months ended March 31, 2025.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Non-Interest Income.</w:t>
      </w:r>
      <w:r>
        <w:rPr>
          <w:rFonts w:ascii="Times New Roman" w:hAnsi="Times New Roman"/>
          <w:color w:val="000000"/>
          <w:sz w:val="20"/>
        </w:rPr>
        <w:t xml:space="preserve"> Non-interest income decreased $0.3 million, or 14.2%, to $2.0 million for the three months ended March 31, 2026 from $2.4 million for the three months ended March 31, 2025. The $0.3 million decrease in non-interest income for the three months ended March 31, 2026 compared to the three months ended March 31, 2025 was largely attributable to a decrease of $0.4 million in income of sale of SBA loans.</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income for the periods indicated:</w:t>
      </w:r>
    </w:p>
    <w:p>
      <w:pPr>
        <w:pStyle w:val="TextBody"/>
        <w:bidi w:val="0"/>
        <w:jc w:val="left"/>
        <w:rPr/>
      </w:pPr>
      <w:r>
        <w:rPr/>
        <w:t> </w:t>
      </w:r>
    </w:p>
    <w:tbl>
      <w:tblPr>
        <w:tblW w:w="8308" w:type="dxa"/>
        <w:jc w:val="left"/>
        <w:tblInd w:w="0" w:type="dxa"/>
        <w:tblLayout w:type="fixed"/>
        <w:tblCellMar>
          <w:top w:w="28" w:type="dxa"/>
          <w:left w:w="28" w:type="dxa"/>
          <w:bottom w:w="28" w:type="dxa"/>
          <w:right w:w="28" w:type="dxa"/>
        </w:tblCellMar>
      </w:tblPr>
      <w:tblGrid>
        <w:gridCol w:w="2836"/>
        <w:gridCol w:w="146"/>
        <w:gridCol w:w="339"/>
        <w:gridCol w:w="918"/>
        <w:gridCol w:w="234"/>
        <w:gridCol w:w="234"/>
        <w:gridCol w:w="339"/>
        <w:gridCol w:w="918"/>
        <w:gridCol w:w="146"/>
        <w:gridCol w:w="146"/>
        <w:gridCol w:w="211"/>
        <w:gridCol w:w="481"/>
        <w:gridCol w:w="166"/>
        <w:gridCol w:w="146"/>
        <w:gridCol w:w="146"/>
        <w:gridCol w:w="526"/>
        <w:gridCol w:w="37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Brokerage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Late and prepayment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on sale of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on sale of SBA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Non-Interest Expense.</w:t>
      </w:r>
      <w:r>
        <w:rPr>
          <w:rFonts w:ascii="Times New Roman" w:hAnsi="Times New Roman"/>
          <w:color w:val="000000"/>
          <w:sz w:val="20"/>
        </w:rPr>
        <w:t xml:space="preserve"> Non-interest expense increased $0.4 million, or 2.1%, to $17.2 million for the three months ended March 31, 2026 from $16.9 million for the three months ended March 31, 2025. The $0.4 million increase in non-interest expense was mainly attributable to increases of $0.8 million in compensation and benefit and $0.1 million in marketing and promotional expenses, partially offset by decreases of $0.3 million in direct loan expenses, $0.2 million in occupancy and equipment and $0.2 million in other operating expenses.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non-interest expense for the periods indicated:</w:t>
      </w:r>
    </w:p>
    <w:p>
      <w:pPr>
        <w:pStyle w:val="TextBody"/>
        <w:bidi w:val="0"/>
        <w:jc w:val="left"/>
        <w:rPr/>
      </w:pPr>
      <w:r>
        <w:rPr/>
        <w:t> </w:t>
      </w:r>
    </w:p>
    <w:tbl>
      <w:tblPr>
        <w:tblW w:w="9870" w:type="dxa"/>
        <w:jc w:val="left"/>
        <w:tblInd w:w="0" w:type="dxa"/>
        <w:tblLayout w:type="fixed"/>
        <w:tblCellMar>
          <w:top w:w="28" w:type="dxa"/>
          <w:left w:w="28" w:type="dxa"/>
          <w:bottom w:w="28" w:type="dxa"/>
          <w:right w:w="28" w:type="dxa"/>
        </w:tblCellMar>
      </w:tblPr>
      <w:tblGrid>
        <w:gridCol w:w="4351"/>
        <w:gridCol w:w="146"/>
        <w:gridCol w:w="304"/>
        <w:gridCol w:w="977"/>
        <w:gridCol w:w="211"/>
        <w:gridCol w:w="211"/>
        <w:gridCol w:w="304"/>
        <w:gridCol w:w="977"/>
        <w:gridCol w:w="146"/>
        <w:gridCol w:w="146"/>
        <w:gridCol w:w="211"/>
        <w:gridCol w:w="481"/>
        <w:gridCol w:w="166"/>
        <w:gridCol w:w="146"/>
        <w:gridCol w:w="146"/>
        <w:gridCol w:w="571"/>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processing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loan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and surety bond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supplies, telephone and postage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and promotional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deposit insurance and regulatory assessment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Income Tax Provision.</w:t>
      </w:r>
      <w:r>
        <w:rPr>
          <w:rFonts w:ascii="Times New Roman" w:hAnsi="Times New Roman"/>
          <w:color w:val="000000"/>
          <w:sz w:val="20"/>
        </w:rPr>
        <w:t xml:space="preserve"> The Company had a provision for income taxes of $2.7 million for the three months ended March 31, 2026 compared to a provision for income taxes of $2.0 million for the three months ended March 31, 2025.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 xml:space="preserve">Credit Quality. </w:t>
      </w:r>
      <w:r>
        <w:rPr>
          <w:rFonts w:ascii="Times New Roman" w:hAnsi="Times New Roman"/>
          <w:color w:val="000000"/>
          <w:sz w:val="20"/>
        </w:rPr>
        <w:t>Total non-performing assets and accruing modifications to borrowers experiencing financial difficulty were $23.6 million at March 31, 2026 compared to $30.2 million at December 31, 2025 and $32.0 million at March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a credit loss provision of $1.7 million on loans was recorded, consisting of $1.3 million charged on the funded portion and $0.4 million charged on the unfunded portion on loans. During the three months ended March 31, 2025, a credit loss benefit of $0.3 million on loans was recorded, consisting of $0.7 million charged on the funded portion on loans and a benefit of $1.0 million on the unfunded portion on loans.</w:t>
      </w:r>
    </w:p>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Average Balance Sheets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average outstanding balances, average yields and rates, and certain other information for the periods indicated. No tax-equivalent yield adjustments have been made, as the effects would be immaterial. Average balances are derived from average daily balances. Non-accrual loans were included in the computation of average balances. The yields set forth below include the effect of deferred fees, discounts, and premiums that are amortized or accreted to interest income or interest expense.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211"/>
        <w:gridCol w:w="931"/>
        <w:gridCol w:w="146"/>
        <w:gridCol w:w="146"/>
        <w:gridCol w:w="211"/>
        <w:gridCol w:w="676"/>
        <w:gridCol w:w="146"/>
        <w:gridCol w:w="146"/>
        <w:gridCol w:w="149"/>
        <w:gridCol w:w="690"/>
        <w:gridCol w:w="271"/>
        <w:gridCol w:w="146"/>
        <w:gridCol w:w="211"/>
        <w:gridCol w:w="931"/>
        <w:gridCol w:w="146"/>
        <w:gridCol w:w="146"/>
        <w:gridCol w:w="211"/>
        <w:gridCol w:w="676"/>
        <w:gridCol w:w="146"/>
        <w:gridCol w:w="146"/>
        <w:gridCol w:w="149"/>
        <w:gridCol w:w="690"/>
        <w:gridCol w:w="518"/>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Loans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2,680,018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2,369,433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6.36</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Securities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360,452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467,560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Other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3,170,055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3,263,274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3,132,180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0.64</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827,948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4.12</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Savings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794,270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3.96</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1,812,188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3.65</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568,601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2,449,446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2,380,789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Non-interest-bearing 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265,093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240,542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510,849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liabilities and 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3,263,274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3,132,180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rate spread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interest-earning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642,225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Net interest margin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Average interest-earning assets to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126.98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Annualized where appropriate.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Includes FHLBNY demand account and FHLBNY stock dividends and FRBNY demand deposits.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For the three months ended March 31, 2025, Advance payments by borrowers for taxes and insurance in the amount of $12.4 million, were reclassified to Savings.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rate spread represents the difference between the weighted average yield on interest-earning assets and the weighted average rate of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(7)</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interest-earning assets represent total interest-earning assets less total interest-bearing liabilities.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(8)</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Rate/Volume Analysis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effects of changing rates and volumes on the Company’s net interest income for the periods indicated. The volume column shows the effects attributable to changes in volume (changes in volume multiplied by prior rate). The rate column shows the effects attributable to changes in rate (changes in rate multiplied by prior volume). The total column represents the sum of the prior columns. For purposes of this table, changes attributable to both rate and volume, which cannot be segregated, have been allocated proportionately based on the changes due to rate and the changes due to volume.</w:t>
      </w:r>
    </w:p>
    <w:p>
      <w:pPr>
        <w:pStyle w:val="TextBody"/>
        <w:bidi w:val="0"/>
        <w:spacing w:before="120" w:after="283"/>
        <w:jc w:val="both"/>
        <w:rPr/>
      </w:pPr>
      <w:r>
        <w:rPr/>
        <w:t> </w:t>
      </w:r>
    </w:p>
    <w:tbl>
      <w:tblPr>
        <w:tblW w:w="6948" w:type="dxa"/>
        <w:jc w:val="left"/>
        <w:tblInd w:w="0" w:type="dxa"/>
        <w:tblLayout w:type="fixed"/>
        <w:tblCellMar>
          <w:top w:w="28" w:type="dxa"/>
          <w:left w:w="28" w:type="dxa"/>
          <w:bottom w:w="28" w:type="dxa"/>
          <w:right w:w="28" w:type="dxa"/>
        </w:tblCellMar>
      </w:tblPr>
      <w:tblGrid>
        <w:gridCol w:w="2901"/>
        <w:gridCol w:w="146"/>
        <w:gridCol w:w="215"/>
        <w:gridCol w:w="645"/>
        <w:gridCol w:w="169"/>
        <w:gridCol w:w="149"/>
        <w:gridCol w:w="215"/>
        <w:gridCol w:w="645"/>
        <w:gridCol w:w="166"/>
        <w:gridCol w:w="146"/>
        <w:gridCol w:w="285"/>
        <w:gridCol w:w="855"/>
        <w:gridCol w:w="41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 Due to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Increase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Loans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4,868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Times New Roman" w:hAnsi="Times New Roman"/>
                <w:color w:val="000000"/>
                <w:sz w:val="19"/>
              </w:rPr>
              <w:t xml:space="preserve">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NOW/IOLA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Money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Management of Market Risk</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w:t>
      </w:r>
      <w:r>
        <w:rPr>
          <w:rFonts w:ascii="Times New Roman" w:hAnsi="Times New Roman"/>
          <w:color w:val="000000"/>
          <w:sz w:val="20"/>
        </w:rPr>
        <w:t>. The most significant form of market risk is interest rate risk because, as a financial institution, the majority of the Bank’s assets and liabilities are sensitive to changes in interest rates. Therefore, a principal part of our operations is to manage interest rate risk and limit the exposure of its financial condition and results of operations to changes in market interest rates. The Bank’s Asset/Liability Committee ("ALCO") is responsible for evaluating the interest rate risk inherent in the Bank’s assets and liabilities, for determining the level of risk that is appropriate, given the business strategy, operating environment, capital, liquidity and performance objectives, and for managing this risk consistent with policies and guidelines approved by the Board of Directors. The Bank currently utilizes a third-party modeling solution that is prepared on a quarterly basis, to evaluate its sensitivity to changing interest rates, given the Bank’s business strategy, operating environment, capital, liquidity and performance objectives, and for managing this risk consistent with the guidelines approved by the Board of Directors.</w:t>
      </w:r>
    </w:p>
    <w:p>
      <w:pPr>
        <w:pStyle w:val="TextBody"/>
        <w:bidi w:val="0"/>
        <w:spacing w:before="120" w:after="283"/>
        <w:jc w:val="both"/>
        <w:rPr>
          <w:rFonts w:ascii="Times New Roman" w:hAnsi="Times New Roman"/>
          <w:sz w:val="20"/>
        </w:rPr>
      </w:pPr>
      <w:r>
        <w:rPr>
          <w:rFonts w:ascii="Times New Roman" w:hAnsi="Times New Roman"/>
          <w:b/>
          <w:i/>
          <w:color w:val="000000"/>
          <w:sz w:val="20"/>
        </w:rPr>
        <w:t>Net Interest Income Simulation Models</w:t>
      </w:r>
      <w:r>
        <w:rPr>
          <w:rFonts w:ascii="Times New Roman" w:hAnsi="Times New Roman"/>
          <w:color w:val="000000"/>
          <w:sz w:val="20"/>
        </w:rPr>
        <w:t xml:space="preserve">. Management utilizes a respected, sophisticated third party designed asset liability modeling software that measures the Bank’s earnings through simulation modeling. Earning assets, interest-bearing liabilities and off-balance sheet financial instruments are combined with forecasts of interest rates for the next 12 months and are combined with other factors in order to produce various earnings simulations over that same 12-month period. To limit interest rate risk, the Bank has policy guidelines for earnings risk which seek to limit the variance of net interest income under instantaneous changes to interest rates. As of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March 31, 2026, in the event of an instantaneous upward and downward change in rates from management's interest rate forecast over the next twelve months, assuming a static balance sheet, the following estimated changes are calculated: </w:t>
      </w:r>
    </w:p>
    <w:p>
      <w:pPr>
        <w:pStyle w:val="TextBody"/>
        <w:bidi w:val="0"/>
        <w:spacing w:before="40" w:after="283"/>
        <w:jc w:val="both"/>
        <w:rPr/>
      </w:pPr>
      <w:r>
        <w:rPr/>
        <w:t> </w:t>
      </w:r>
    </w:p>
    <w:tbl>
      <w:tblPr>
        <w:tblW w:w="4400" w:type="dxa"/>
        <w:jc w:val="left"/>
        <w:tblInd w:w="0" w:type="dxa"/>
        <w:tblLayout w:type="fixed"/>
        <w:tblCellMar>
          <w:top w:w="28" w:type="dxa"/>
          <w:left w:w="28" w:type="dxa"/>
          <w:bottom w:w="28" w:type="dxa"/>
          <w:right w:w="28" w:type="dxa"/>
        </w:tblCellMar>
      </w:tblPr>
      <w:tblGrid>
        <w:gridCol w:w="1021"/>
        <w:gridCol w:w="146"/>
        <w:gridCol w:w="360"/>
        <w:gridCol w:w="1335"/>
        <w:gridCol w:w="146"/>
        <w:gridCol w:w="146"/>
        <w:gridCol w:w="1246"/>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 Change</w:t>
            </w:r>
          </w:p>
        </w:tc>
      </w:tr>
      <w:tr>
        <w:trPr/>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Rate Shift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1 Forecast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Level</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(5.30%)</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(2.62%)</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(1.38%)</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19"/>
              </w:rPr>
              <w:t>%</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0.55%</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0.91%</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1.43%</w:t>
            </w:r>
          </w:p>
        </w:tc>
      </w:tr>
      <w:tr>
        <w:trPr/>
        <w:tc>
          <w:tcPr>
            <w:tcW w:w="1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115,831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0.88%</w:t>
            </w:r>
          </w:p>
        </w:tc>
      </w:tr>
    </w:tbl>
    <w:p>
      <w:pPr>
        <w:pStyle w:val="TextBody"/>
        <w:bidi w:val="0"/>
        <w:spacing w:before="40" w:after="283"/>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Assumes an instantaneous uniform change in interest rates at all maturities.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an instantaneous and severe shift in interest rates was used in this analysis to provide an estimate of exposure under these scenarios, management believes that a gradual shift in interest rates would have a more modest impact. Further, the earnings simulation model does not take into account factors such as future balance sheet growth, changes in product mix, changes in yield curve relationships, and changing product spreads that could alter any potential adverse impact of changes in interest rates.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behavior of the deposit portfolio in the baseline forecast and in alternate interest rate scenarios set out in the table above is a key assumption in the projected estimates of net interest income. The projected impact on net interest income in the table above assumes no change in deposit portfolio size or mix from the baseline forecast in alternative rate environments. In higher rate scenarios, any customer activity resulting in the replacement of low-cost or non-interest-bearing deposits with higher-yielding deposits or market-based funding would reduce the benefit in those scenarios.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March 31, 2026, the earnings simulation model indicated that the Bank was in compliance with the Board of Directors approved Interest Rate Risk Policy. </w:t>
      </w:r>
    </w:p>
    <w:p>
      <w:pPr>
        <w:pStyle w:val="TextBody"/>
        <w:bidi w:val="0"/>
        <w:spacing w:before="120" w:after="283"/>
        <w:jc w:val="both"/>
        <w:rPr>
          <w:rFonts w:ascii="Times New Roman" w:hAnsi="Times New Roman"/>
          <w:sz w:val="20"/>
        </w:rPr>
      </w:pPr>
      <w:r>
        <w:rPr>
          <w:rFonts w:ascii="Times New Roman" w:hAnsi="Times New Roman"/>
          <w:b/>
          <w:i/>
          <w:color w:val="000000"/>
          <w:sz w:val="20"/>
        </w:rPr>
        <w:t>Economic Value of Equity Model</w:t>
      </w:r>
      <w:r>
        <w:rPr>
          <w:rFonts w:ascii="Times New Roman" w:hAnsi="Times New Roman"/>
          <w:color w:val="000000"/>
          <w:sz w:val="20"/>
        </w:rPr>
        <w:t>. While earnings simulation modeling attempts to determine the impact of a changing rate environment to net interest income, the Economic Value of Equity Model (“EVE”) measures estimated changes to the economic values of assets, liabilities and off-balance sheet items as a result of interest rate changes. Economic values are determined by discounting expected cash flows from assets, liabilities and off-balance sheet items, which establishes a base case EVE. Rates are then shocked as prescribed by the Interest Rate Risk Policy to measure the sensitivity in EVE values for each of those shocked rate scenarios versus the base case. The Interest Rate Risk Policy sets limits for those sensitivities. At March 31, 2026, the EVE modeling calculated the following estimated changes in EVE due to instantaneous upward and downward changes in rates:</w:t>
      </w:r>
    </w:p>
    <w:p>
      <w:pPr>
        <w:pStyle w:val="TextBody"/>
        <w:bidi w:val="0"/>
        <w:spacing w:before="40" w:after="283"/>
        <w:jc w:val="both"/>
        <w:rPr/>
      </w:pPr>
      <w:r>
        <w:rPr/>
        <w:t> </w:t>
      </w:r>
    </w:p>
    <w:tbl>
      <w:tblPr>
        <w:tblW w:w="8730"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49"/>
        <w:gridCol w:w="923"/>
        <w:gridCol w:w="196"/>
        <w:gridCol w:w="172"/>
        <w:gridCol w:w="172"/>
        <w:gridCol w:w="746"/>
        <w:gridCol w:w="331"/>
        <w:gridCol w:w="146"/>
        <w:gridCol w:w="183"/>
        <w:gridCol w:w="717"/>
        <w:gridCol w:w="340"/>
        <w:gridCol w:w="183"/>
        <w:gridCol w:w="197"/>
        <w:gridCol w:w="853"/>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 as a Percentage of Present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of Assets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Increase (Decrease) in</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in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EVE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Rates (basis points)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EVE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Ratio </w:t>
            </w:r>
            <w:r>
              <w:rPr>
                <w:rFonts w:ascii="Times New Roman" w:hAnsi="Times New Roman"/>
                <w:b/>
                <w:color w:val="000000"/>
                <w:sz w:val="11"/>
              </w:rPr>
              <w:t>(4)</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490,084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(96,066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16.48</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(50,908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16.95</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560,335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17.46</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Level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586,150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610,077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632,450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46,300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18.68</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71,162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696,113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109,963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19.62</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Assumes an instantaneous uniform change in interest rates at all maturities.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EVE is the discounted present value of expected cash flows from assets, liabilities and off-balance sheet contracts.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Present value of assets represents the discounted present value of incoming cash flows on interest-earning assets.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EVE Ratio represents EVE divided by the present value of assets.</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an instantaneous and severe shift in interest rates was used in this analysis to provide an estimate of exposure under these scenarios, management believes that a gradual shift in interest rates would have a more modest impact. Since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product mix, changes in yield curve relationships, and changing product spreads that could alter the adverse impact of changes in interest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March 31, 2026, the EVE model indicated that the Bank was in compliance with the Board of Directors’ approved Interest Rate Risk Policy. </w:t>
      </w:r>
    </w:p>
    <w:p>
      <w:pPr>
        <w:pStyle w:val="TextBody"/>
        <w:bidi w:val="0"/>
        <w:spacing w:before="40" w:after="283"/>
        <w:jc w:val="both"/>
        <w:rPr/>
      </w:pPr>
      <w:r>
        <w:rPr/>
        <w:t> </w:t>
      </w:r>
    </w:p>
    <w:p>
      <w:pPr>
        <w:pStyle w:val="TextBody"/>
        <w:bidi w:val="0"/>
        <w:jc w:val="both"/>
        <w:rPr>
          <w:rFonts w:ascii="Times New Roman" w:hAnsi="Times New Roman"/>
          <w:sz w:val="20"/>
        </w:rPr>
      </w:pPr>
      <w:r>
        <w:rPr>
          <w:rFonts w:ascii="Times New Roman" w:hAnsi="Times New Roman"/>
          <w:b/>
          <w:i/>
          <w:color w:val="000000"/>
          <w:sz w:val="20"/>
        </w:rPr>
        <w:t>Most Likely Earnings Simulation Models</w:t>
      </w:r>
      <w:r>
        <w:rPr>
          <w:rFonts w:ascii="Times New Roman" w:hAnsi="Times New Roman"/>
          <w:b/>
          <w:color w:val="000000"/>
          <w:sz w:val="20"/>
        </w:rPr>
        <w:t>.</w:t>
      </w:r>
      <w:r>
        <w:rPr>
          <w:rFonts w:ascii="Times New Roman" w:hAnsi="Times New Roman"/>
          <w:color w:val="000000"/>
          <w:sz w:val="20"/>
        </w:rPr>
        <w:t xml:space="preserve"> Management also analyzes a most-likely earnings simulation scenario that projects the expected change in rates based on a forward yield curve adopted by management using expected balance sheet volumes forecasted by management. Separate growth assumptions are developed for loans, investments, deposits, etc. Other interest rate scenarios analyzed by management may include delayed rate shocks, yield curve steepening or flattening, or other variations in rate movements to further analyze or stress the balance sheet under various interest rate scenarios. Each scenario is evaluated by management and weighted to determine the most likely result. These processes assist management to better anticipate financial results and, as a result, management may determine the need to review other operating strategies and tactics which might enhance results or better position the balance sheet to reduce interest rate risk going forward.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above analyses may not, on its own, be an accurate indicator of how net interest income will be affected by changes in interest rates. Income associated with interest-earning assets and costs associated with interest-bearing liabilities may not be affected uniformly by changes in interest rates. In addition, the magnitude and duration of changes in interest rates may have a significant impact on net interest income. For example, although certain assets and liabilities may have similar maturities or periods of repricing, they may react in different degrees to changes in market interest rates. Interest rates on certain types of assets and liabilities fluctuate in advance of changes in general market rates, while interest rates on other types may lag behind changes in general market rates. In addition, certain assets, such as adjustable rate mortgage loans, have features (generally referred to as interest rate caps and floors) which limit changes in interest rates. Prepayment and early withdrawal levels also could deviate significantly from those assumed in calculating the maturity of certain instruments. The ability of many borrowers to service their debts also may decrease during periods of rising interest rates. The ALCO Committee reviews each of the above interest rate sensitivity analyses along with several different interest rate scenarios as part of its responsibility to provide a satisfactory, consistent level of profitability within the framework of established liquidity, loan, investment, borrowing and capital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model governance, model implementation and model validation processes and controls are subject to review in the Bank’s regulatory examinations to ensure they are in compliance with the most recent regulatory guidelines and industry and regulatory practices. Management utilizes a respected, sophisticated third party designed asset liability modeling software to help ensure implementation of management's assumptions into the model are processed as intended in a robust manner. That said, there are numerous assumptions regarding financial instrument behaviors that are integrated into the model. The assumptions are formulated by combining observations gleaned from the Bank’s historical studies of financial instruments and the best estimations of how, if at all, these instruments may behave in the future given changes in economic conditions, technology, etc. These assumptions may prove to be inaccurate. Additionally, given the large number of assumptions built into Bank’s asset liability modeling software, it is difficult, at best, to compare its results to other banks.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ALCO Committee may determine that the Company should over time become more or less asset or liability sensitive depending on the underlying balance sheet circumstances and its conclusions regarding interest rate fluctuations in future periods. The historically low benchmark federal funds interest rate of the last several years implemented in response the turmoil resulting from COVID-19 pandemic has ended.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18, 2024, the Federal Reserve announced that the target range for the federal funds rate decreased by 50 basis points to 4.75% to 5.00% effective on September 19, 2024. It marked the first rate cut in over four years and signaled a shift in strategy aimed at bolstering the economy and preventing a rise in unemployment. In November 2024, the Federal Reserve lowered the target range by 25 basis points to 4.50% to 4.75% and in December 2024 another 25 basis points to 4.25% to 4.50%. The Federal Reserve reduced the federal funds rate by 25 basis points each in September 2025, October 2025 and December 2025, resulting in the current federal funds rate range of 3.50% to 3.75%. At its January 2026 and April 2026 meetings, the Federal Reserve kept its interest rate steady at 3.50% to 3.75%. Our net interest income may be positively impacted if the demand for loans increases due to the lower rates, alone or in tandem with lower inflation, or it may be negatively impacted if we fail to appropriately time adjustments to our funding costs and the rates we earn on our loans. </w:t>
      </w:r>
    </w:p>
    <w:p>
      <w:pPr>
        <w:pStyle w:val="TextBody"/>
        <w:bidi w:val="0"/>
        <w:spacing w:before="200" w:after="283"/>
        <w:jc w:val="both"/>
        <w:rPr>
          <w:rFonts w:ascii="Times New Roman" w:hAnsi="Times New Roman"/>
          <w:sz w:val="20"/>
        </w:rPr>
      </w:pPr>
      <w:r>
        <w:rPr>
          <w:rFonts w:ascii="Times New Roman" w:hAnsi="Times New Roman"/>
          <w:b/>
          <w:i/>
          <w:color w:val="000000"/>
          <w:sz w:val="20"/>
        </w:rPr>
        <w:t>GAP Analysis</w:t>
      </w:r>
      <w:r>
        <w:rPr>
          <w:rFonts w:ascii="Times New Roman" w:hAnsi="Times New Roman"/>
          <w:color w:val="000000"/>
          <w:sz w:val="20"/>
        </w:rPr>
        <w:t xml:space="preserve">. In addition, management analyzes interest rate sensitivity by monitoring the Bank’s interest rate sensitivity "gap." The interest rate sensitivity gap is the difference between the amount of interest-earning assets maturing or repricing within a specific time period and the amount of interest bearing-liabilities maturing or repricing within that same time period. A gap is considered positive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amount of interest rate sensitive assets maturing or repricing during a period exceeds the amount of interest rate sensitive liabilities maturing or repricing during the same period, and a gap is considered negative when the amount of interest rate sensitive liabilities maturing or repricing during a period exceeds the amount of interest rate sensitive assets maturing or repricing during the same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Company’s interest-earning assets and its interest-bearing liabilities at March 31, 2026,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March 31, 2026,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pStyle w:val="TextBody"/>
        <w:bidi w:val="0"/>
        <w:jc w:val="both"/>
        <w:rPr/>
      </w:pPr>
      <w:r>
        <w:rPr/>
        <w:t> </w:t>
      </w:r>
    </w:p>
    <w:tbl>
      <w:tblPr>
        <w:tblW w:w="10678" w:type="dxa"/>
        <w:jc w:val="left"/>
        <w:tblInd w:w="0" w:type="dxa"/>
        <w:tblLayout w:type="fixed"/>
        <w:tblCellMar>
          <w:top w:w="28" w:type="dxa"/>
          <w:left w:w="28" w:type="dxa"/>
          <w:bottom w:w="28" w:type="dxa"/>
          <w:right w:w="28" w:type="dxa"/>
        </w:tblCellMar>
      </w:tblPr>
      <w:tblGrid>
        <w:gridCol w:w="1036"/>
        <w:gridCol w:w="146"/>
        <w:gridCol w:w="181"/>
        <w:gridCol w:w="586"/>
        <w:gridCol w:w="211"/>
        <w:gridCol w:w="146"/>
        <w:gridCol w:w="181"/>
        <w:gridCol w:w="691"/>
        <w:gridCol w:w="211"/>
        <w:gridCol w:w="146"/>
        <w:gridCol w:w="181"/>
        <w:gridCol w:w="691"/>
        <w:gridCol w:w="211"/>
        <w:gridCol w:w="146"/>
        <w:gridCol w:w="181"/>
        <w:gridCol w:w="691"/>
        <w:gridCol w:w="211"/>
        <w:gridCol w:w="146"/>
        <w:gridCol w:w="181"/>
        <w:gridCol w:w="631"/>
        <w:gridCol w:w="211"/>
        <w:gridCol w:w="146"/>
        <w:gridCol w:w="181"/>
        <w:gridCol w:w="691"/>
        <w:gridCol w:w="211"/>
        <w:gridCol w:w="146"/>
        <w:gridCol w:w="181"/>
        <w:gridCol w:w="586"/>
        <w:gridCol w:w="151"/>
        <w:gridCol w:w="146"/>
        <w:gridCol w:w="181"/>
        <w:gridCol w:w="691"/>
        <w:gridCol w:w="35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March 31, 2026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Time to Repricing</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 90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180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One</w:t>
              <w:br/>
              <w:t>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Five</w:t>
              <w:br/>
              <w:t>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Five Years</w:t>
              <w:br/>
              <w:t>Plus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Earning</w:t>
              <w:br/>
              <w:t>Assets &amp;</w:t>
              <w:br/>
              <w:t>Costing</w:t>
              <w:br/>
              <w:t>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Earning</w:t>
              <w:br/>
              <w:t>Assets &amp;</w:t>
              <w:br/>
              <w:t>Non</w:t>
              <w:br/>
              <w:t>Costing</w:t>
              <w:br/>
              <w:t>Liabilities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Interest-bearing deposits in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117,246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Securities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350,664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loans (includes LHFS)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636,891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931,799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1,476,898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2,634,698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2,720,486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2,700,776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28,180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92,936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2,947,535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3,175,184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3,300,757</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Non-maturity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1,417,173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1,412,485</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423,353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721,310</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44,499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2,709,583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2,749,394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551,363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551,363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 and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352,644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739,083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1,104,394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2,310,183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399,400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2,709,583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3,300,757</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Asset/liability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320,227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526,868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(171,751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Gap/assets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available-for-sale securities and held-to-maturity securities.</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Company’s interest-earning assets and its interest-bearing liabilities at December 31, 2025, which are anticipated to reprice or mature in each of the future time periods shown based upon certain assumptions. The amounts of assets and liabilities shown which reprice or mature during a particular period were determined in accordance with the earlier of term to repricing or the contractual maturity of the asset or liability. The table sets forth an approximation of the projected repricing of assets and liabilities at December 31, 2025, on the basis of contractual maturities, anticipated prepayments and scheduled rate adjustments. The loan amounts in the table reflect principal balances expected to be redeployed and/or repriced as a result of contractual amortization and as a result of contractual rate adjustments on adjustable-rate loans.</w:t>
      </w:r>
    </w:p>
    <w:p>
      <w:pPr>
        <w:pStyle w:val="TextBody"/>
        <w:bidi w:val="0"/>
        <w:jc w:val="both"/>
        <w:rPr/>
      </w:pPr>
      <w:r>
        <w:rPr/>
        <w:t> </w:t>
      </w:r>
    </w:p>
    <w:tbl>
      <w:tblPr>
        <w:tblW w:w="10678" w:type="dxa"/>
        <w:jc w:val="left"/>
        <w:tblInd w:w="0" w:type="dxa"/>
        <w:tblLayout w:type="fixed"/>
        <w:tblCellMar>
          <w:top w:w="28" w:type="dxa"/>
          <w:left w:w="28" w:type="dxa"/>
          <w:bottom w:w="28" w:type="dxa"/>
          <w:right w:w="28" w:type="dxa"/>
        </w:tblCellMar>
      </w:tblPr>
      <w:tblGrid>
        <w:gridCol w:w="1036"/>
        <w:gridCol w:w="146"/>
        <w:gridCol w:w="181"/>
        <w:gridCol w:w="586"/>
        <w:gridCol w:w="211"/>
        <w:gridCol w:w="146"/>
        <w:gridCol w:w="181"/>
        <w:gridCol w:w="691"/>
        <w:gridCol w:w="211"/>
        <w:gridCol w:w="146"/>
        <w:gridCol w:w="181"/>
        <w:gridCol w:w="691"/>
        <w:gridCol w:w="211"/>
        <w:gridCol w:w="146"/>
        <w:gridCol w:w="181"/>
        <w:gridCol w:w="691"/>
        <w:gridCol w:w="211"/>
        <w:gridCol w:w="146"/>
        <w:gridCol w:w="181"/>
        <w:gridCol w:w="631"/>
        <w:gridCol w:w="211"/>
        <w:gridCol w:w="146"/>
        <w:gridCol w:w="181"/>
        <w:gridCol w:w="691"/>
        <w:gridCol w:w="211"/>
        <w:gridCol w:w="146"/>
        <w:gridCol w:w="181"/>
        <w:gridCol w:w="586"/>
        <w:gridCol w:w="151"/>
        <w:gridCol w:w="146"/>
        <w:gridCol w:w="181"/>
        <w:gridCol w:w="691"/>
        <w:gridCol w:w="35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Time to Repricing</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90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to</w:t>
              <w:br/>
              <w:t>180 Days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One</w:t>
              <w:br/>
              <w:t>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Zero Days</w:t>
              <w:br/>
              <w:t>to Five</w:t>
              <w:br/>
              <w:t>Years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Five</w:t>
              <w:br/>
              <w:t>Years</w:t>
              <w:br/>
              <w:t>Plus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Earning</w:t>
              <w:br/>
              <w:t>Assets &amp;</w:t>
              <w:br/>
              <w:t>Costing</w:t>
              <w:br/>
              <w:t>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w:t>
              <w:br/>
              <w:t>Earning</w:t>
              <w:br/>
              <w:t>Assets &amp;</w:t>
              <w:br/>
              <w:t>Non</w:t>
              <w:br/>
              <w:t>Costing</w:t>
              <w:br/>
              <w:t>Liabilities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5"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(Dollars in thousands)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Interest-bearing deposits in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126,154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Securities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235,594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143,993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379,587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365,178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Placement with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loans (includes LHFS)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1,022,289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1,454,001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2,568,380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2,621,521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2,602,646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FRBNY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10,698</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89,736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1,197,767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1,655,614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2,941,873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3,139,007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3,223,970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Non-maturity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317,295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975,246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1,342,132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283,828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594,370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704,503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596,100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39,686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2,275,849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2,682,421</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541,549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541,549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 and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684,280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1,136,665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2,275,849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2,651,782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572,188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3,223,970</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Asset/liability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Gap/assets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Includes available-for-sale securities and held-to-maturity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shortcomings are inherent in the methodologies used in the above interest rate risk measurements. Modeling changes require making certain assumptions that may or may not reflect the manner in which actual yields and costs respond to changes in market interest rates. In this regard, the net interest income and EVE tables presented assume that the composition of the interest-sensitive assets and liabilities existing at the beginning of a period remains constant over the period being measured and assumes that a particular change in interest rates is reflected uniformly across the yield curve regardless of the duration or repricing of specific assets and liabilities. Accordingly, although the net interest income and EVE tables provide an indication of the interest rate risk exposure at a particular point in time, such measurements are not intended to and do not provide a precise forecast of the effect of changes in market interest rates on net interest income and EVE and will differ from actual results. Furthermore, although certain assets and liabilities may have similar maturities or periods to repricing, they may react in different degrees to changes in market interest rates. Additionally, certain assets, such as adjustable-rate loans, have features that restrict changes in interest rates both on a short-term basis and over the life of the asset.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of changes in interest rates, prepayment and early withdrawal levels would likely deviate significantly from those assumed in calculating the gap 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 risk calculations also may not reflect the fair values of financial instruments. For example, decreases in market interest rates can increase the fair values of loans, deposits and borrowings.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Liquidity describes the ability to meet the financial obligations that arise in the ordinary course of business. Liquidity is primarily needed to meet the borrowing and deposit withdrawal requirements of the Company’s customers and to fund current and future planned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maturities and scheduled amortization of loans and securities are predictable sources of funds, deposit flows and loan prepayments are greatly influenced by market interest rates, economic conditions, and competition. The most liquid assets are cash and interest-bearing deposits in banks. The levels of these assets are dependent on operating, financing, lending, and investing activities during any given period. The Bank had $571.1 million and $596.1 million of outstanding term advances from FHLBNY at March 31, 2026 and December 31, 2025, respectively. The Bank had no overnight line of credit advance from the FHLBNY at March 31, 2026 and December 31, 2025.</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operating activities was $13.9 million and $13.1 million for the three months ended March 31, 2026 and 2025, respectively. Net cash used in investing activities, which consists primarily of disbursements for loan originations, net purchase and redemption of FHLBNY stock and purchase of equipment offset by principal collections on loans and proceeds from maturities, calls and principal repayments on securities was ($84.9) million and ($67.8) million for the three months ended March 31, 2026 and 2025, respectively. Net cash provided by financing activities, consisting of activities in borrowing, deposit accounts and dividends paid on preferred stock, was $62.1 million and $44.8 million for the three months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and December 31, 2025, all regulatory capital requirements were met, resulting in the Company and the Bank being categorized as well capitalized. Management is not aware of any conditions or events that would change this categorization.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120" w:after="283"/>
        <w:jc w:val="both"/>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As a financial services provider, the Company routinely is a party to various financial instruments with off-balance-sheet risks, such as commitments to extend credit and unused lines of credit. Although these contractual obligations represent the Company’s future cash requirements, a significant portion of commitments to extend credit may expire without being drawn upon. Such commitments are subject to the same credit policies and approval process accorded to loans originated. At March 31, 2026 and December 31, 2025, the Company had outstanding commitments to originate loans and extend credit of $497.6 million and $481.7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anticipated that the Company will have sufficient funds available to meet its current lending commitments. Certificates of deposit that are scheduled to mature in 2026 totaled $521.1 million. Management expects that a substantial portion of the maturing time deposits will be renewed. However, if a substantial portion of these deposits are not retained, the Company may utilize FHLBNY advances, FRBNY advances,unsecured credit lines with correspondent banks, or raise interest rates on deposits to attract new accounts, which may result in higher levels of interest expense.</w:t>
      </w:r>
    </w:p>
    <w:p>
      <w:pPr>
        <w:pStyle w:val="TextBody"/>
        <w:bidi w:val="0"/>
        <w:spacing w:before="120" w:after="283"/>
        <w:jc w:val="both"/>
        <w:rPr>
          <w:rFonts w:ascii="Times New Roman" w:hAnsi="Times New Roman"/>
          <w:sz w:val="20"/>
        </w:rPr>
      </w:pPr>
      <w:r>
        <w:rPr>
          <w:rFonts w:ascii="Times New Roman" w:hAnsi="Times New Roman"/>
          <w:b/>
          <w:i/>
          <w:color w:val="000000"/>
          <w:sz w:val="20"/>
        </w:rPr>
        <w:t>Contractual Obligations</w:t>
      </w:r>
      <w:r>
        <w:rPr>
          <w:rFonts w:ascii="Times New Roman" w:hAnsi="Times New Roman"/>
          <w:color w:val="000000"/>
          <w:sz w:val="20"/>
        </w:rPr>
        <w:t>. In the ordinary course of its operations, the Company enters into certain contractual obligations. Such obligations include data processing services, operating leases for premises and equipment, agreements with respect to borrowed funds and deposit liabilities. There have been no material changes in the Company’s material cash requirements under its contractual obligations as discussed in its most recent annual report on Form 10-K.</w:t>
      </w:r>
    </w:p>
    <w:p>
      <w:pPr>
        <w:pStyle w:val="TextBody"/>
        <w:bidi w:val="0"/>
        <w:spacing w:before="200" w:after="283"/>
        <w:jc w:val="both"/>
        <w:rPr>
          <w:rFonts w:ascii="Times New Roman" w:hAnsi="Times New Roman"/>
          <w:sz w:val="20"/>
        </w:rPr>
      </w:pPr>
      <w:r>
        <w:rPr>
          <w:rFonts w:ascii="Times New Roman" w:hAnsi="Times New Roman"/>
          <w:b/>
          <w:i/>
          <w:color w:val="000000"/>
          <w:sz w:val="20"/>
        </w:rPr>
        <w:t>Dividend on Preferred Stock</w:t>
      </w:r>
      <w:r>
        <w:rPr>
          <w:rFonts w:ascii="Times New Roman" w:hAnsi="Times New Roman"/>
          <w:color w:val="000000"/>
          <w:sz w:val="20"/>
        </w:rPr>
        <w:t>. Pursuant to the terms of its Preferred Stock, the Company is required to pay a quarterly dividend on its Preferred Stock, beginning during the quarter ended June 30, 2024. The floor dividend rate is 0.50% and the ceiling dividend rate is 2.00%, based on achievement of certain qualified lending targets. For quarterly dividends through June 15, 2025, the Company is required to pay quarterly dividends on the Preferred Stock at a rate of 0.50%. In June 2024, the Company began paying dividends on its Preferred Stock, which dividends were $0.3 million for the three months ended March 31, 2026 and $0.3 million for the three months ended December 31, 2025.</w:t>
      </w:r>
    </w:p>
    <w:p>
      <w:pPr>
        <w:pStyle w:val="TextBody"/>
        <w:bidi w:val="0"/>
        <w:spacing w:before="120" w:after="283"/>
        <w:jc w:val="both"/>
        <w:rPr>
          <w:rFonts w:ascii="Times New Roman" w:hAnsi="Times New Roman"/>
          <w:sz w:val="20"/>
        </w:rPr>
      </w:pPr>
      <w:r>
        <w:rPr>
          <w:rFonts w:ascii="Times New Roman" w:hAnsi="Times New Roman"/>
          <w:b/>
          <w:i/>
          <w:color w:val="000000"/>
          <w:sz w:val="20"/>
        </w:rPr>
        <w:t>Other Material Cash Requirements.</w:t>
      </w:r>
      <w:r>
        <w:rPr>
          <w:rFonts w:ascii="Times New Roman" w:hAnsi="Times New Roman"/>
          <w:color w:val="000000"/>
          <w:sz w:val="20"/>
        </w:rPr>
        <w:t xml:space="preserve"> In addition to contractual obligations, the Company’s material cash requirements also includes compensation and benefits expenses for its employees, which were $8.7 million for the three months ended March 31, 2026. The Company also has material cash requirements for occupancy and equipment expenses, excluding depreciation and amortization of $0.5 million, related to rental expenses, general maintenance and cleaning supplies, guard services, software licenses and other miscellaneous expenses, which were $3.2 million for the three months ended March 31, 2026.</w:t>
      </w:r>
    </w:p>
    <w:p>
      <w:pPr>
        <w:pStyle w:val="TextBody"/>
        <w:bidi w:val="0"/>
        <w:spacing w:before="360" w:after="283"/>
        <w:jc w:val="both"/>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included in Part I, Item 2 of this report under “Management of Market Risk”.</w:t>
      </w:r>
    </w:p>
    <w:p>
      <w:pPr>
        <w:pStyle w:val="TextBody"/>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evaluation was performed under the supervision and with the participation of the Company’s management, including the Chief Executive Officer and the Chief Financial Officer, of the effectiveness of the design and operation of the Company’s disclosure controls and procedures (as defined in Rule 13a-15(e) or Rule 15d-15(e) promulgated under the Securities and Exchange Act of 1934, as amended) as of March 31, 2026. Based on that evaluation, the Company’s management, including the Chief Executive Officer and the Chief Financial Officer, concluded that the Registrant’s disclosure controls and procedures were effective.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2026, there were no changes in the Company’s internal controls over financial reporting that have materially affected, or are reasonably likely to materially affect, its internal controls over financial reporting.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involved in any pending legal proceedings as a plaintiff or a defendant other than routine legal proceeding occurring in the ordinary course of business. At March 31, 2026, the Company was not involved in any legal proceedings the outcome of which management believes would be material to its financial condition or results of operations.</w:t>
      </w:r>
    </w:p>
    <w:p>
      <w:pPr>
        <w:pStyle w:val="TextBody"/>
        <w:bidi w:val="0"/>
        <w:spacing w:before="36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to the other information set forth in this Quarterly Report, you should carefully consider the risk factors and other cautionary statements described under the heading “Item 1A. Risk Factors” included in our 2025 Form 10-K and the risk factors and other cautionary statements contained in our other SEC filings,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disclosed in Item 1A of our 2025 Form 10-K or our other SEC filings.</w:t>
      </w:r>
    </w:p>
    <w:p>
      <w:pPr>
        <w:pStyle w:val="TextBody"/>
        <w:bidi w:val="0"/>
        <w:spacing w:before="120" w:after="283"/>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item_5_or_information"/>
      <w:bookmarkEnd w:id="20"/>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2"/>
        <w:gridCol w:w="146"/>
        <w:gridCol w:w="9277"/>
      </w:tblGrid>
      <w:tr>
        <w:trPr/>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7" w:type="dxa"/>
            <w:tcBorders/>
            <w:vAlign w:val="center"/>
          </w:tcPr>
          <w:p>
            <w:pPr>
              <w:pStyle w:val="TableContents"/>
              <w:bidi w:val="0"/>
              <w:spacing w:before="0" w:after="283"/>
              <w:jc w:val="left"/>
              <w:rPr>
                <w:sz w:val="4"/>
                <w:szCs w:val="4"/>
              </w:rPr>
            </w:pPr>
            <w:r>
              <w:rPr>
                <w:sz w:val="4"/>
                <w:szCs w:val="4"/>
              </w:rPr>
            </w:r>
          </w:p>
        </w:tc>
      </w:tr>
      <w:tr>
        <w:trPr/>
        <w:tc>
          <w:tcPr>
            <w:tcW w:w="782"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00"/>
                  <w:sz w:val="20"/>
                </w:rPr>
                <w:t>Articles of Incorporation of Ponce Financial Group, Inc. (attached as Exhibit 3.1 to the Registrant’s Form S-1 (File No. 333-258394) filed with the Commission on August 3, 2021).</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80"/>
                  <w:sz w:val="20"/>
                </w:rPr>
                <w:t>Bylaws of Ponce Financial Group, Inc. (attached as Exhibit 3.2 to the Registrant’s Form S-1 (File No. 333-258394) filed with the Commission on August 3, 2021).</w:t>
              </w:r>
            </w:hyperlink>
            <w:r>
              <w:rPr>
                <w:rFonts w:ascii="Times New Roman" w:hAnsi="Times New Roman"/>
                <w:color w:val="000000"/>
                <w:sz w:val="20"/>
              </w:rPr>
              <w:t xml:space="preserve">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00"/>
                  <w:sz w:val="20"/>
                </w:rPr>
                <w:t>Articles Supplementary to the Charter of Ponce Financial Group, Inc. (attached as Exhibit 3.1 to the Registrant’s Current Report on Form 8-K (File No. 001-41255) filed with the Commission on June 9, 2022).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dl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8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7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 Filed herewith.</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757" w:type="dxa"/>
        <w:jc w:val="left"/>
        <w:tblInd w:w="0" w:type="dxa"/>
        <w:tblLayout w:type="fixed"/>
        <w:tblCellMar>
          <w:top w:w="28" w:type="dxa"/>
          <w:left w:w="28" w:type="dxa"/>
          <w:bottom w:w="28" w:type="dxa"/>
          <w:right w:w="28" w:type="dxa"/>
        </w:tblCellMar>
      </w:tblPr>
      <w:tblGrid>
        <w:gridCol w:w="1636"/>
        <w:gridCol w:w="109"/>
        <w:gridCol w:w="406"/>
        <w:gridCol w:w="46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Ponce Financial Group, Inc.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 Carlos P. Naudon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Carlos P. Naudon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46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Sergio J. Vaccaro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Sergio J. Vaccaro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Vice President and Chief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52</w:t>
      </w:r>
    </w:p>
    <w:p>
      <w:pPr>
        <w:pStyle w:val="HorizontalLine"/>
        <w:pBdr>
          <w:bottom w:val="double" w:sz="2" w:space="0" w:color="808080"/>
        </w:pBdr>
        <w:bidi w:val="0"/>
        <w:spacing w:before="0" w:after="283"/>
        <w:jc w:val="left"/>
        <w:rPr/>
      </w:pPr>
      <w:r>
        <w:rPr/>
      </w:r>
    </w:p>
    <w:p>
      <w:pPr>
        <w:pStyle w:val="TextBody"/>
        <w:bidi w:val="0"/>
        <w:jc w:val="left"/>
        <w:rPr/>
      </w:pPr>
      <w:bookmarkStart w:id="23" w:name="pdlb-ex31_1.htm"/>
      <w:bookmarkStart w:id="24" w:name="kspdlb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Carlos P. Naudon,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Ponce Financial Group,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Carlos P. Naudon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Carlos P. Naudon</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President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dlb-ex31_2.htm"/>
      <w:bookmarkStart w:id="26" w:name="kspdlb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Sergio J. Vaccaro,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Ponce Financial Group,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402" w:type="dxa"/>
        <w:jc w:val="left"/>
        <w:tblInd w:w="0" w:type="dxa"/>
        <w:tblLayout w:type="fixed"/>
        <w:tblCellMar>
          <w:top w:w="28" w:type="dxa"/>
          <w:left w:w="28" w:type="dxa"/>
          <w:bottom w:w="28" w:type="dxa"/>
          <w:right w:w="28" w:type="dxa"/>
        </w:tblCellMar>
      </w:tblPr>
      <w:tblGrid>
        <w:gridCol w:w="1636"/>
        <w:gridCol w:w="109"/>
        <w:gridCol w:w="406"/>
        <w:gridCol w:w="22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Sergio J. Vaccaro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Sergio J. Vaccaro</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Vice President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dlb-ex32_1.htm"/>
      <w:bookmarkStart w:id="28" w:name="kspdlbex32_1"/>
      <w:bookmarkEnd w:id="27"/>
      <w:bookmarkEnd w:id="28"/>
      <w:r>
        <w:rPr/>
        <w:t> </w:t>
      </w:r>
      <w:r>
        <w:br w:type="page"/>
      </w:r>
    </w:p>
    <w:p>
      <w:pPr>
        <w:pStyle w:val="TextBody"/>
        <w:bidi w:val="0"/>
        <w:jc w:val="right"/>
        <w:rPr>
          <w:rFonts w:ascii="Times New Roman" w:hAnsi="Times New Roman"/>
          <w:b/>
          <w:color w:val="000000"/>
          <w:sz w:val="19"/>
        </w:rPr>
      </w:pPr>
      <w:r>
        <w:rPr>
          <w:rFonts w:ascii="Times New Roman" w:hAnsi="Times New Roman"/>
          <w:b/>
          <w:color w:val="000000"/>
          <w:sz w:val="19"/>
        </w:rPr>
        <w:t>Exhibit 32.1</w:t>
      </w:r>
    </w:p>
    <w:p>
      <w:pPr>
        <w:pStyle w:val="TextBody"/>
        <w:bidi w:val="0"/>
        <w:spacing w:before="360" w:after="283"/>
        <w:jc w:val="center"/>
        <w:rPr>
          <w:rFonts w:ascii="Times New Roman" w:hAnsi="Times New Roman"/>
          <w:b/>
          <w:color w:val="000000"/>
          <w:sz w:val="19"/>
        </w:rPr>
      </w:pPr>
      <w:r>
        <w:rPr>
          <w:rFonts w:ascii="Times New Roman" w:hAnsi="Times New Roman"/>
          <w:b/>
          <w:color w:val="000000"/>
          <w:sz w:val="19"/>
        </w:rPr>
        <w:t>CERTIFICATION PURSUANT TO</w:t>
      </w:r>
    </w:p>
    <w:p>
      <w:pPr>
        <w:pStyle w:val="TextBody"/>
        <w:bidi w:val="0"/>
        <w:jc w:val="center"/>
        <w:rPr>
          <w:rFonts w:ascii="Times New Roman" w:hAnsi="Times New Roman"/>
          <w:b/>
          <w:color w:val="000000"/>
          <w:sz w:val="19"/>
        </w:rPr>
      </w:pPr>
      <w:r>
        <w:rPr>
          <w:rFonts w:ascii="Times New Roman" w:hAnsi="Times New Roman"/>
          <w:b/>
          <w:color w:val="000000"/>
          <w:sz w:val="19"/>
        </w:rPr>
        <w:t>18 U.S.C. SECTION 1350, AS ADOPTED PURSUANT TO</w:t>
      </w:r>
    </w:p>
    <w:p>
      <w:pPr>
        <w:pStyle w:val="TextBody"/>
        <w:bidi w:val="0"/>
        <w:jc w:val="center"/>
        <w:rPr>
          <w:rFonts w:ascii="Times New Roman" w:hAnsi="Times New Roman"/>
          <w:b/>
          <w:color w:val="000000"/>
          <w:sz w:val="19"/>
        </w:rPr>
      </w:pPr>
      <w:r>
        <w:rPr>
          <w:rFonts w:ascii="Times New Roman" w:hAnsi="Times New Roman"/>
          <w:b/>
          <w:color w:val="000000"/>
          <w:sz w:val="19"/>
        </w:rPr>
        <w:t>SECTION 906 OF THE SARBANES-OXLEY ACT OF 2002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In connection with the Quarterly Report of Ponce Financial Group,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information contained in the Report fairly presents, in all material respects, the financial condition and results of operations of the Company.</w:t>
      </w:r>
    </w:p>
    <w:p>
      <w:pPr>
        <w:pStyle w:val="TextBody"/>
        <w:bidi w:val="0"/>
        <w:jc w:val="both"/>
        <w:rPr/>
      </w:pPr>
      <w:r>
        <w:rPr/>
        <w:t> </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Carlos P. Naudon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9"/>
              </w:rPr>
            </w:pPr>
            <w:r>
              <w:rPr>
                <w:rFonts w:ascii="Times New Roman" w:hAnsi="Times New Roman"/>
                <w:b/>
                <w:color w:val="000000"/>
                <w:sz w:val="19"/>
              </w:rPr>
              <w:t>Carlos P. Naudon</w:t>
            </w:r>
          </w:p>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President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pdlb-ex32_2.htm"/>
      <w:bookmarkStart w:id="30" w:name="kspdlbex32_2"/>
      <w:bookmarkEnd w:id="29"/>
      <w:bookmarkEnd w:id="30"/>
      <w:r>
        <w:rPr/>
        <w:t> </w:t>
      </w:r>
      <w:r>
        <w:br w:type="page"/>
      </w:r>
    </w:p>
    <w:p>
      <w:pPr>
        <w:pStyle w:val="TextBody"/>
        <w:bidi w:val="0"/>
        <w:jc w:val="right"/>
        <w:rPr>
          <w:rFonts w:ascii="Times New Roman" w:hAnsi="Times New Roman"/>
          <w:b/>
          <w:color w:val="000000"/>
          <w:sz w:val="19"/>
        </w:rPr>
      </w:pPr>
      <w:r>
        <w:rPr>
          <w:rFonts w:ascii="Times New Roman" w:hAnsi="Times New Roman"/>
          <w:b/>
          <w:color w:val="000000"/>
          <w:sz w:val="19"/>
        </w:rPr>
        <w:t>Exhibit 32.2</w:t>
      </w:r>
    </w:p>
    <w:p>
      <w:pPr>
        <w:pStyle w:val="TextBody"/>
        <w:bidi w:val="0"/>
        <w:spacing w:before="360" w:after="283"/>
        <w:jc w:val="center"/>
        <w:rPr>
          <w:rFonts w:ascii="Times New Roman" w:hAnsi="Times New Roman"/>
          <w:b/>
          <w:color w:val="000000"/>
          <w:sz w:val="19"/>
        </w:rPr>
      </w:pPr>
      <w:r>
        <w:rPr>
          <w:rFonts w:ascii="Times New Roman" w:hAnsi="Times New Roman"/>
          <w:b/>
          <w:color w:val="000000"/>
          <w:sz w:val="19"/>
        </w:rPr>
        <w:t>CERTIFICATION PURSUANT TO</w:t>
      </w:r>
    </w:p>
    <w:p>
      <w:pPr>
        <w:pStyle w:val="TextBody"/>
        <w:bidi w:val="0"/>
        <w:jc w:val="center"/>
        <w:rPr>
          <w:rFonts w:ascii="Times New Roman" w:hAnsi="Times New Roman"/>
          <w:b/>
          <w:color w:val="000000"/>
          <w:sz w:val="19"/>
        </w:rPr>
      </w:pPr>
      <w:r>
        <w:rPr>
          <w:rFonts w:ascii="Times New Roman" w:hAnsi="Times New Roman"/>
          <w:b/>
          <w:color w:val="000000"/>
          <w:sz w:val="19"/>
        </w:rPr>
        <w:t>18 U.S.C. SECTION 1350, AS ADOPTED PURSUANT TO</w:t>
      </w:r>
    </w:p>
    <w:p>
      <w:pPr>
        <w:pStyle w:val="TextBody"/>
        <w:bidi w:val="0"/>
        <w:jc w:val="center"/>
        <w:rPr>
          <w:rFonts w:ascii="Times New Roman" w:hAnsi="Times New Roman"/>
          <w:b/>
          <w:color w:val="000000"/>
          <w:sz w:val="19"/>
        </w:rPr>
      </w:pPr>
      <w:r>
        <w:rPr>
          <w:rFonts w:ascii="Times New Roman" w:hAnsi="Times New Roman"/>
          <w:b/>
          <w:color w:val="000000"/>
          <w:sz w:val="19"/>
        </w:rPr>
        <w:t>SECTION 906 OF THE SARBANES-OXLEY ACT OF 2002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In connection with the Quarterly Report of Ponce Financial Group, Inc. (the “Company”) on Form 10-Q for the period ending March 31,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both"/>
        <w:rPr>
          <w:rFonts w:ascii="Times New Roman" w:hAnsi="Times New Roman"/>
          <w:color w:val="000000"/>
          <w:sz w:val="19"/>
        </w:rPr>
      </w:pPr>
      <w:r>
        <w:rPr>
          <w:rFonts w:ascii="Times New Roman" w:hAnsi="Times New Roman"/>
          <w:color w:val="000000"/>
          <w:sz w:val="19"/>
        </w:rPr>
        <w:t>The information contained in the Report fairly presents, in all material respects, the financial condition and results of operations of the Company.</w:t>
      </w:r>
    </w:p>
    <w:p>
      <w:pPr>
        <w:pStyle w:val="TextBody"/>
        <w:bidi w:val="0"/>
        <w:jc w:val="both"/>
        <w:rPr/>
      </w:pPr>
      <w:r>
        <w:rPr/>
        <w:t> </w:t>
      </w:r>
    </w:p>
    <w:tbl>
      <w:tblPr>
        <w:tblW w:w="4402" w:type="dxa"/>
        <w:jc w:val="left"/>
        <w:tblInd w:w="0" w:type="dxa"/>
        <w:tblLayout w:type="fixed"/>
        <w:tblCellMar>
          <w:top w:w="28" w:type="dxa"/>
          <w:left w:w="28" w:type="dxa"/>
          <w:bottom w:w="28" w:type="dxa"/>
          <w:right w:w="28" w:type="dxa"/>
        </w:tblCellMar>
      </w:tblPr>
      <w:tblGrid>
        <w:gridCol w:w="1636"/>
        <w:gridCol w:w="109"/>
        <w:gridCol w:w="406"/>
        <w:gridCol w:w="225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Date: May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9"/>
              </w:rPr>
            </w:pPr>
            <w:r>
              <w:rPr>
                <w:rFonts w:ascii="Times New Roman" w:hAnsi="Times New Roman"/>
                <w:color w:val="000000"/>
                <w:sz w:val="19"/>
              </w:rPr>
              <w:t>By:</w:t>
            </w:r>
          </w:p>
        </w:tc>
        <w:tc>
          <w:tcPr>
            <w:tcW w:w="22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Sergio J. Vaccaro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19"/>
              </w:rPr>
            </w:pPr>
            <w:r>
              <w:rPr>
                <w:rFonts w:ascii="Times New Roman" w:hAnsi="Times New Roman"/>
                <w:b/>
                <w:color w:val="000000"/>
                <w:sz w:val="19"/>
              </w:rPr>
              <w:t>Sergio J. Vaccaro</w:t>
            </w:r>
          </w:p>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Executive Vice President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Chief Financial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74071/000156459021039921/pdlb-ex31_310.htm" TargetMode="External"/><Relationship Id="rId3" Type="http://schemas.openxmlformats.org/officeDocument/2006/relationships/hyperlink" Target="https://www.sec.gov/Archives/edgar/data/0001874071/000156459021039921/pdlb-ex32_311.htm" TargetMode="External"/><Relationship Id="rId4" Type="http://schemas.openxmlformats.org/officeDocument/2006/relationships/hyperlink" Target="https://www.sec.gov/Archives/edgar/data/0001874071/000156459022022853/pdlb-ex31_5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26972</Words>
  <Characters>146842</Characters>
  <CharactersWithSpaces>180644</CharactersWithSpaces>
  <Paragraphs>19253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