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Ponce Financial Group,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001-41255</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87-1893965</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2244 Westchester Avenue</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7"/>
              </w:rPr>
              <w:t>Bronx, New York</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10462</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(718) 931-9000</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76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580" w:type="dxa"/>
            <w:vAlign w:val="bottom"/>
            <w:tcBorders>
              <w:bottom w:val="single" w:sz="8" w:color="auto"/>
            </w:tcBorders>
          </w:tcPr>
          <w:p>
            <w:pPr>
              <w:jc w:val="center"/>
              <w:ind w:left="60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580" w:type="dxa"/>
            <w:vAlign w:val="bottom"/>
          </w:tcPr>
          <w:p>
            <w:pPr>
              <w:jc w:val="center"/>
              <w:ind w:left="601"/>
              <w:spacing w:after="0"/>
              <w:rPr>
                <w:sz w:val="20"/>
                <w:szCs w:val="20"/>
                <w:color w:val="auto"/>
              </w:rPr>
            </w:pPr>
            <w:r>
              <w:rPr>
                <w:rFonts w:ascii="Times New Roman" w:cs="Times New Roman" w:eastAsia="Times New Roman" w:hAnsi="Times New Roman"/>
                <w:sz w:val="16"/>
                <w:szCs w:val="16"/>
                <w:color w:val="auto"/>
                <w:w w:val="98"/>
              </w:rPr>
              <w:t>Common stock, par value $0.01 per share</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PDLB</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02"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On April 24, 2026, Ponce Financial Group, Inc. (the "Company"), the holding company for Ponce Bank, National Association ("Ponce Bank" or the "Bank"), issued a press release announcing its financial results with respect to its first quarter ended March 31, 2026. The Company’s press release is included as Exhibit 99.1 to this report.</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information set forth in this Item 2.02 and in the attached Exhibit 99.1 is deemed to be “furnished” and shall not be deemed to be “filed” for purposes of Section 18 of the Securities Exchange Act of 1934, as amended (the “Exchange Act”), or otherwise subject to the liabilities of that Section.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Company is scheduled to make presentations to current and prospective investors after April 24, 2026. Attached as Exhibit 99.2 of this Form 8-K is a copy of the presentation which Ponce Financial Group, Inc. will make available at these presentations and will post on its website at www.poncebank.com. This report is being furnished to the SEC and shall not be deemed "filed" for any purpose.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w:t>
      </w: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Exhibit Number</w:t>
            </w:r>
          </w:p>
        </w:tc>
        <w:tc>
          <w:tcPr>
            <w:tcW w:w="1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6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252"/>
        </w:trPr>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99.1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Press re</w:t>
            </w:r>
            <w:r>
              <w:rPr>
                <w:rFonts w:ascii="Times New Roman" w:cs="Times New Roman" w:eastAsia="Times New Roman" w:hAnsi="Times New Roman"/>
                <w:sz w:val="16"/>
                <w:szCs w:val="16"/>
                <w:color w:val="000000"/>
              </w:rPr>
              <w:t>lease dated April 24, 2026</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169"/>
        </w:trPr>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6"/>
                <w:szCs w:val="16"/>
                <w:color w:val="auto"/>
                <w:w w:val="99"/>
              </w:rPr>
              <w:t>99.2</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920" w:type="dxa"/>
            <w:vAlign w:val="bottom"/>
            <w:gridSpan w:val="4"/>
          </w:tcPr>
          <w:p>
            <w:pPr>
              <w:spacing w:after="0" w:line="169" w:lineRule="exact"/>
              <w:rPr>
                <w:sz w:val="20"/>
                <w:szCs w:val="20"/>
                <w:color w:val="auto"/>
              </w:rPr>
            </w:pPr>
            <w:r>
              <w:rPr>
                <w:rFonts w:ascii="Times New Roman" w:cs="Times New Roman" w:eastAsia="Times New Roman" w:hAnsi="Times New Roman"/>
                <w:sz w:val="16"/>
                <w:szCs w:val="16"/>
                <w:color w:val="0000FF"/>
              </w:rPr>
              <w:t>Presentation of Ponce Financial Group</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tcBorders>
              <w:right w:val="single" w:sz="8" w:color="0000EE"/>
            </w:tcBorders>
            <w:gridSpan w:val="3"/>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05"/>
        </w:trPr>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40" w:type="dxa"/>
            <w:vAlign w:val="bottom"/>
          </w:tcPr>
          <w:p>
            <w:pPr>
              <w:spacing w:after="0"/>
              <w:rPr>
                <w:sz w:val="17"/>
                <w:szCs w:val="17"/>
                <w:color w:val="auto"/>
              </w:rPr>
            </w:pPr>
          </w:p>
        </w:tc>
        <w:tc>
          <w:tcPr>
            <w:tcW w:w="996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w:t>
            </w:r>
          </w:p>
        </w:tc>
      </w:tr>
      <w:tr>
        <w:trPr>
          <w:trHeight w:val="854"/>
        </w:trPr>
        <w:tc>
          <w:tcPr>
            <w:tcW w:w="1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7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Ponce Financial Group, Inc.</w:t>
      </w:r>
    </w:p>
    <w:p>
      <w:pPr>
        <w:spacing w:after="0" w:line="327"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April 24,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Carlos P. Naudon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Carlos P. Naudon</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60"/>
          </w:cols>
          <w:pgMar w:left="320" w:top="689"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4"/>
          <w:szCs w:val="24"/>
          <w:b w:val="1"/>
          <w:bCs w:val="1"/>
          <w:color w:val="auto"/>
        </w:rPr>
        <w:t>Exhibit 99.1</w:t>
      </w:r>
    </w:p>
    <w:p>
      <w:pPr>
        <w:spacing w:after="0" w:line="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Ponce Financial Group, Inc. Reports First Quarter 2026 Results</w:t>
      </w:r>
    </w:p>
    <w:p>
      <w:pPr>
        <w:spacing w:after="0" w:line="18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NEW YORK, April 24, 2026 - </w:t>
      </w:r>
      <w:r>
        <w:rPr>
          <w:rFonts w:ascii="Times New Roman" w:cs="Times New Roman" w:eastAsia="Times New Roman" w:hAnsi="Times New Roman"/>
          <w:sz w:val="16"/>
          <w:szCs w:val="16"/>
          <w:color w:val="auto"/>
        </w:rPr>
        <w:t>Ponce Financial Group, Inc., (the “Company”) (Nasdaq: PDLB), the holding company for Ponce Bank, National Association ("Ponce Bank"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“Bank”), today announced results for the first quarter of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2026 Highlights (Compared to Prior Periods):</w:t>
      </w:r>
    </w:p>
    <w:p>
      <w:pPr>
        <w:spacing w:after="0" w:line="102" w:lineRule="exact"/>
        <w:rPr>
          <w:sz w:val="20"/>
          <w:szCs w:val="20"/>
          <w:color w:val="auto"/>
        </w:rPr>
      </w:pPr>
    </w:p>
    <w:p>
      <w:pPr>
        <w:jc w:val="both"/>
        <w:ind w:left="1020" w:hanging="516"/>
        <w:spacing w:after="0" w:line="25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available to common stockholders was $8.3 million, or $0.36 per diluted share for the three months ended March 31, 2026, as compared to net income available to common stockholders of $9.9 million, or $0.42 per diluted share for the three months ended December 31, 2025 and net income available to common stockholders of $5.7 million, or $0.25 per diluted share for the three months ended March 31, 2025. Total net income for the three months ended March 31, 2026 was $8.6 million. The Company paid dividends of $0.3 million on its preferred stock during the three months ended March 31, 2026.</w:t>
      </w:r>
    </w:p>
    <w:p>
      <w:pPr>
        <w:spacing w:after="0" w:line="66" w:lineRule="exact"/>
        <w:rPr>
          <w:rFonts w:ascii="Times New Roman" w:cs="Times New Roman" w:eastAsia="Times New Roman" w:hAnsi="Times New Roman"/>
          <w:sz w:val="16"/>
          <w:szCs w:val="16"/>
          <w:color w:val="auto"/>
        </w:rPr>
      </w:pPr>
    </w:p>
    <w:p>
      <w:pPr>
        <w:jc w:val="both"/>
        <w:ind w:left="1020" w:hanging="516"/>
        <w:spacing w:after="0" w:line="261"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$8.3 million of net income available to common stockholders for the first quarter of 2026 results is $48.7 million in total interest and dividend income and $2.0 million in non-interest income, offset by $20.4 million in interest expense, $17.2 million in non-interest expense, $2.7 million in provision for income taxes, $1.7 million in provision for credit losses and $0.3 million in dividends on preferred shares.</w:t>
      </w:r>
    </w:p>
    <w:p>
      <w:pPr>
        <w:spacing w:after="0" w:line="62"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income of $28.2 million for the first quarter of 2026 increased $0.3 million, or 1.05%, from the prior quarter and increased $6.0 million, or 27.13%, from the same quarter last year.</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interest margin was 3.61% for the first quarter of 2026, versus 3.57% for the prior quarter and 2.98% for the same quarter last year.</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equivalents were $117.2 million as of March 31, 2026, a decrease of $8.9 million, or 7.06%, from $126.2 million as of December 31, 2025.</w:t>
      </w:r>
    </w:p>
    <w:p>
      <w:pPr>
        <w:spacing w:after="0" w:line="99" w:lineRule="exact"/>
        <w:rPr>
          <w:rFonts w:ascii="Times New Roman" w:cs="Times New Roman" w:eastAsia="Times New Roman" w:hAnsi="Times New Roman"/>
          <w:sz w:val="16"/>
          <w:szCs w:val="16"/>
          <w:color w:val="auto"/>
        </w:rPr>
      </w:pPr>
    </w:p>
    <w:p>
      <w:pPr>
        <w:ind w:left="1020" w:right="20" w:hanging="516"/>
        <w:spacing w:after="0" w:line="276" w:lineRule="auto"/>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totaled $350.7 million as of March 31, 2026, a decrease of $14.5 million, or 3.97%, from $365.2 million as of December 31, 2025 primarily due to regular principal payments and the maturity of one available-for-sale security in the amount of $3.0 million.</w:t>
      </w:r>
    </w:p>
    <w:p>
      <w:pPr>
        <w:spacing w:after="0" w:line="4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loans receivable were $2.70 billion as of March 31, 2026, an increase of $99.4 million, or 3.82%, from $2.60 billion as of December 31, 2025.</w:t>
      </w:r>
    </w:p>
    <w:p>
      <w:pPr>
        <w:spacing w:after="0" w:line="99" w:lineRule="exact"/>
        <w:rPr>
          <w:rFonts w:ascii="Times New Roman" w:cs="Times New Roman" w:eastAsia="Times New Roman" w:hAnsi="Times New Roman"/>
          <w:sz w:val="16"/>
          <w:szCs w:val="16"/>
          <w:color w:val="auto"/>
        </w:rPr>
      </w:pPr>
    </w:p>
    <w:p>
      <w:pPr>
        <w:ind w:left="1020" w:hanging="516"/>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were $2.13 billion as of March 31, 2026, an increase of $87.2 million, or 4.26%, from $2.05 billion as of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Officer’s Comments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Carlos P. Naudon, Ponce Financial Group, Inc.’s President and CEO, stated “Our disciplined execution continues to serve Ponce well. Our diluted earnings per share of $0.36 this quarter is up 44% vs the same quarter last year and our book value per share of $13.49 is up $1.44 or 12% over the same period. Net interest margin is up 4 basis points versus last quarter and 63 basis points vs the same quarter last year. Our non-performing assets went down this quarter by 22 basis points and now stand at 62 basis points of total assets. Our capital ratios continue to be well in excess of regulatory requirements. We remain committed to the communities we serve, and we’ll continue investing in our people and in technology to improve our efficiency.”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Chairman’s Comment</w:t>
      </w:r>
    </w:p>
    <w:p>
      <w:pPr>
        <w:spacing w:after="0" w:line="1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Steven A. Tsavaris, Ponce Financial Group’s Executive Chairman added “We’re pleased with our business activity during the quarter and by our loan and deposit growth. We continue to make progress towards our commitments under the U.S. Treasury’s Emergency Capital Investment Program and we’re one quarter away from achieving 16 quarters of a cumulative deep impact lending percentage of more than 60%. After 15 quarters, including the quarter ended March 31, 2026, we are at 82% deep impact lending.”</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69"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The table below indicates the Key Metrics at or for the three months ended: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41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At or for the Three Months Ended</w:t>
            </w:r>
          </w:p>
        </w:tc>
        <w:tc>
          <w:tcPr>
            <w:tcW w:w="9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12"/>
        </w:trPr>
        <w:tc>
          <w:tcPr>
            <w:tcW w:w="4100" w:type="dxa"/>
            <w:vAlign w:val="bottom"/>
          </w:tcPr>
          <w:p>
            <w:pPr>
              <w:spacing w:after="0"/>
              <w:rPr>
                <w:sz w:val="9"/>
                <w:szCs w:val="9"/>
                <w:color w:val="auto"/>
              </w:rPr>
            </w:pPr>
          </w:p>
        </w:tc>
        <w:tc>
          <w:tcPr>
            <w:tcW w:w="1320" w:type="dxa"/>
            <w:vAlign w:val="bottom"/>
            <w:gridSpan w:val="2"/>
          </w:tcPr>
          <w:p>
            <w:pPr>
              <w:jc w:val="right"/>
              <w:ind w:right="540"/>
              <w:spacing w:after="0" w:line="112"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500" w:type="dxa"/>
            <w:vAlign w:val="bottom"/>
            <w:gridSpan w:val="2"/>
          </w:tcPr>
          <w:p>
            <w:pPr>
              <w:jc w:val="right"/>
              <w:ind w:right="477"/>
              <w:spacing w:after="0" w:line="112"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700" w:type="dxa"/>
            <w:vAlign w:val="bottom"/>
            <w:gridSpan w:val="3"/>
          </w:tcPr>
          <w:p>
            <w:pPr>
              <w:ind w:left="180"/>
              <w:spacing w:after="0" w:line="11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20" w:type="dxa"/>
            <w:vAlign w:val="bottom"/>
            <w:gridSpan w:val="2"/>
          </w:tcPr>
          <w:p>
            <w:pPr>
              <w:jc w:val="right"/>
              <w:ind w:right="660"/>
              <w:spacing w:after="0" w:line="112"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240" w:type="dxa"/>
            <w:vAlign w:val="bottom"/>
          </w:tcPr>
          <w:p>
            <w:pPr>
              <w:jc w:val="right"/>
              <w:ind w:right="274"/>
              <w:spacing w:after="0" w:line="112"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80" w:type="dxa"/>
            <w:vAlign w:val="bottom"/>
          </w:tcPr>
          <w:p>
            <w:pPr>
              <w:spacing w:after="0"/>
              <w:rPr>
                <w:sz w:val="9"/>
                <w:szCs w:val="9"/>
                <w:color w:val="auto"/>
              </w:rPr>
            </w:pPr>
          </w:p>
        </w:tc>
      </w:tr>
      <w:tr>
        <w:trPr>
          <w:trHeight w:val="152"/>
        </w:trPr>
        <w:tc>
          <w:tcPr>
            <w:tcW w:w="4100" w:type="dxa"/>
            <w:vAlign w:val="bottom"/>
          </w:tcPr>
          <w:p>
            <w:pPr>
              <w:spacing w:after="0"/>
              <w:rPr>
                <w:sz w:val="13"/>
                <w:szCs w:val="13"/>
                <w:color w:val="auto"/>
              </w:rPr>
            </w:pPr>
          </w:p>
        </w:tc>
        <w:tc>
          <w:tcPr>
            <w:tcW w:w="10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tcPr>
          <w:p>
            <w:pPr>
              <w:spacing w:after="0"/>
              <w:rPr>
                <w:sz w:val="13"/>
                <w:szCs w:val="13"/>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3"/>
                <w:szCs w:val="13"/>
                <w:color w:val="auto"/>
              </w:rPr>
            </w:pPr>
          </w:p>
        </w:tc>
        <w:tc>
          <w:tcPr>
            <w:tcW w:w="11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Pr>
          <w:p>
            <w:pPr>
              <w:spacing w:after="0"/>
              <w:rPr>
                <w:sz w:val="13"/>
                <w:szCs w:val="13"/>
                <w:color w:val="auto"/>
              </w:rPr>
            </w:pPr>
          </w:p>
        </w:tc>
        <w:tc>
          <w:tcPr>
            <w:tcW w:w="12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3"/>
                <w:szCs w:val="13"/>
                <w:color w:val="auto"/>
              </w:rPr>
            </w:pPr>
          </w:p>
        </w:tc>
      </w:tr>
      <w:tr>
        <w:trPr>
          <w:trHeight w:val="134"/>
        </w:trPr>
        <w:tc>
          <w:tcPr>
            <w:tcW w:w="41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Performance Ratios:</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Return on average assets </w:t>
            </w:r>
            <w:r>
              <w:rPr>
                <w:rFonts w:ascii="Times New Roman" w:cs="Times New Roman" w:eastAsia="Times New Roman" w:hAnsi="Times New Roman"/>
                <w:sz w:val="16"/>
                <w:szCs w:val="16"/>
                <w:color w:val="auto"/>
                <w:vertAlign w:val="superscript"/>
              </w:rPr>
              <w:t>(1)</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1.07%</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1.26%</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0.82%</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0.79%</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0.77%</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 xml:space="preserve">Return on common equity </w:t>
            </w:r>
            <w:r>
              <w:rPr>
                <w:rFonts w:ascii="Times New Roman" w:cs="Times New Roman" w:eastAsia="Times New Roman" w:hAnsi="Times New Roman"/>
                <w:sz w:val="16"/>
                <w:szCs w:val="16"/>
                <w:color w:val="auto"/>
                <w:vertAlign w:val="superscript"/>
              </w:rPr>
              <w:t>(1)</w:t>
            </w: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10.37%</w:t>
            </w:r>
          </w:p>
        </w:tc>
        <w:tc>
          <w:tcPr>
            <w:tcW w:w="1500" w:type="dxa"/>
            <w:vAlign w:val="bottom"/>
            <w:gridSpan w:val="2"/>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12.50%</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8.10%</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7.88%</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7.97%</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16"/>
                <w:szCs w:val="16"/>
                <w:color w:val="auto"/>
                <w:vertAlign w:val="superscript"/>
              </w:rPr>
              <w:t>(1) (2)</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3.61%</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3.57%</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3.30%</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3.27%</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2.98%</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 xml:space="preserve">Non-interest expense to average assets </w:t>
            </w:r>
            <w:r>
              <w:rPr>
                <w:rFonts w:ascii="Times New Roman" w:cs="Times New Roman" w:eastAsia="Times New Roman" w:hAnsi="Times New Roman"/>
                <w:sz w:val="16"/>
                <w:szCs w:val="16"/>
                <w:color w:val="auto"/>
                <w:vertAlign w:val="superscript"/>
              </w:rPr>
              <w:t>(1)</w:t>
            </w: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2.14%</w:t>
            </w:r>
          </w:p>
        </w:tc>
        <w:tc>
          <w:tcPr>
            <w:tcW w:w="1500" w:type="dxa"/>
            <w:vAlign w:val="bottom"/>
            <w:gridSpan w:val="2"/>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2.06%</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2.10%</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2.18%</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2.19%</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16"/>
                <w:szCs w:val="16"/>
                <w:color w:val="auto"/>
                <w:vertAlign w:val="superscript"/>
              </w:rPr>
              <w:t>(3)</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56.96%</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52.95%</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62.15%</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63.69%</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68.70%</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Capital Ratios:</w:t>
            </w: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Total capital to risk-weighted assets (Ponce Financial Group)</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21.23%</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23.00%</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24.08%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22.65%</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22.84%</w:t>
            </w:r>
          </w:p>
        </w:tc>
      </w:tr>
      <w:tr>
        <w:trPr>
          <w:trHeight w:val="127"/>
        </w:trPr>
        <w:tc>
          <w:tcPr>
            <w:tcW w:w="4100" w:type="dxa"/>
            <w:vAlign w:val="bottom"/>
            <w:shd w:val="clear" w:color="auto" w:fill="CFF0FC"/>
          </w:tcPr>
          <w:p>
            <w:pPr>
              <w:spacing w:after="0" w:line="127" w:lineRule="exact"/>
              <w:rPr>
                <w:sz w:val="20"/>
                <w:szCs w:val="20"/>
                <w:color w:val="auto"/>
              </w:rPr>
            </w:pPr>
            <w:r>
              <w:rPr>
                <w:rFonts w:ascii="Times New Roman" w:cs="Times New Roman" w:eastAsia="Times New Roman" w:hAnsi="Times New Roman"/>
                <w:sz w:val="13"/>
                <w:szCs w:val="13"/>
                <w:color w:val="auto"/>
              </w:rPr>
              <w:t>Common equity Tier 1 capital to risk-weighted assets (Ponce Financial</w:t>
            </w:r>
          </w:p>
        </w:tc>
        <w:tc>
          <w:tcPr>
            <w:tcW w:w="10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157"/>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Group)</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12.11%</w:t>
            </w:r>
          </w:p>
        </w:tc>
        <w:tc>
          <w:tcPr>
            <w:tcW w:w="150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12.98%</w:t>
            </w: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13.39%</w:t>
            </w:r>
          </w:p>
        </w:tc>
        <w:tc>
          <w:tcPr>
            <w:tcW w:w="24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12.49%</w:t>
            </w: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12.51%</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Tier 1 capital to total assets (Ponce Financial Group)</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17.22%</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17.27%</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17.33%</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17.13%</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16.84%</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Total capital to risk-weighted assets (Bank only)</w:t>
            </w: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20.00%</w:t>
            </w:r>
          </w:p>
        </w:tc>
        <w:tc>
          <w:tcPr>
            <w:tcW w:w="1500" w:type="dxa"/>
            <w:vAlign w:val="bottom"/>
            <w:gridSpan w:val="2"/>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21.63%</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21.79%</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21.22%</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21.38%</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Common equity Tier 1 capital to risk-weighted assets (Bank only)</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18.97%</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20.53%</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20.66%</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20.15%</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20.35%</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Tier 1 capital to total assets (Bank only)</w:t>
            </w: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16.09%</w:t>
            </w:r>
          </w:p>
        </w:tc>
        <w:tc>
          <w:tcPr>
            <w:tcW w:w="1500" w:type="dxa"/>
            <w:vAlign w:val="bottom"/>
            <w:gridSpan w:val="2"/>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16.12%</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16.08%</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15.99%</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15.61%</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Asset Quality Ratios:</w:t>
            </w: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Allowance for credit losses on loans as a percentage of total loans</w:t>
            </w:r>
          </w:p>
        </w:tc>
        <w:tc>
          <w:tcPr>
            <w:tcW w:w="1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0.96%</w:t>
            </w:r>
          </w:p>
        </w:tc>
        <w:tc>
          <w:tcPr>
            <w:tcW w:w="1500" w:type="dxa"/>
            <w:vAlign w:val="bottom"/>
            <w:gridSpan w:val="2"/>
            <w:shd w:val="clear" w:color="auto" w:fill="CFF0FC"/>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0.97%</w:t>
            </w:r>
          </w:p>
        </w:tc>
        <w:tc>
          <w:tcPr>
            <w:tcW w:w="146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0.98%</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0.97%</w:t>
            </w:r>
          </w:p>
        </w:tc>
        <w:tc>
          <w:tcPr>
            <w:tcW w:w="142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0.96%</w:t>
            </w:r>
          </w:p>
        </w:tc>
      </w:tr>
      <w:tr>
        <w:trPr>
          <w:trHeight w:val="127"/>
        </w:trPr>
        <w:tc>
          <w:tcPr>
            <w:tcW w:w="4100" w:type="dxa"/>
            <w:vAlign w:val="bottom"/>
          </w:tcPr>
          <w:p>
            <w:pPr>
              <w:spacing w:after="0" w:line="127" w:lineRule="exact"/>
              <w:rPr>
                <w:sz w:val="20"/>
                <w:szCs w:val="20"/>
                <w:color w:val="auto"/>
              </w:rPr>
            </w:pPr>
            <w:r>
              <w:rPr>
                <w:rFonts w:ascii="Times New Roman" w:cs="Times New Roman" w:eastAsia="Times New Roman" w:hAnsi="Times New Roman"/>
                <w:sz w:val="13"/>
                <w:szCs w:val="13"/>
                <w:color w:val="auto"/>
              </w:rPr>
              <w:t>Allowance for credit losses on loans as a percentage of nonperforming</w:t>
            </w:r>
          </w:p>
        </w:tc>
        <w:tc>
          <w:tcPr>
            <w:tcW w:w="1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57"/>
        </w:trPr>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loans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128.93%</w:t>
            </w:r>
          </w:p>
        </w:tc>
        <w:tc>
          <w:tcPr>
            <w:tcW w:w="150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94.74%</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88.88%</w:t>
            </w:r>
          </w:p>
        </w:tc>
        <w:tc>
          <w:tcPr>
            <w:tcW w:w="24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101.01%</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84.15%</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 xml:space="preserve">Net (charge-offs) recoveries to average outstanding loans </w:t>
            </w:r>
            <w:r>
              <w:rPr>
                <w:rFonts w:ascii="Times New Roman" w:cs="Times New Roman" w:eastAsia="Times New Roman" w:hAnsi="Times New Roman"/>
                <w:sz w:val="16"/>
                <w:szCs w:val="16"/>
                <w:color w:val="auto"/>
                <w:vertAlign w:val="superscript"/>
              </w:rPr>
              <w:t>(1)</w:t>
            </w:r>
          </w:p>
        </w:tc>
        <w:tc>
          <w:tcPr>
            <w:tcW w:w="1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(0.08%)</w:t>
            </w:r>
          </w:p>
        </w:tc>
        <w:tc>
          <w:tcPr>
            <w:tcW w:w="1500" w:type="dxa"/>
            <w:vAlign w:val="bottom"/>
            <w:gridSpan w:val="2"/>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(0.13%)</w:t>
            </w:r>
          </w:p>
        </w:tc>
        <w:tc>
          <w:tcPr>
            <w:tcW w:w="14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(0.03%)</w:t>
            </w:r>
          </w:p>
        </w:tc>
        <w:tc>
          <w:tcPr>
            <w:tcW w:w="2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(0.04%)</w:t>
            </w:r>
          </w:p>
        </w:tc>
        <w:tc>
          <w:tcPr>
            <w:tcW w:w="142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(0.04%)</w:t>
            </w: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Non-performing loans as a percentage of total assets</w:t>
            </w:r>
          </w:p>
        </w:tc>
        <w:tc>
          <w:tcPr>
            <w:tcW w:w="132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color w:val="auto"/>
              </w:rPr>
              <w:t>0.62%</w:t>
            </w:r>
          </w:p>
        </w:tc>
        <w:tc>
          <w:tcPr>
            <w:tcW w:w="1500" w:type="dxa"/>
            <w:vAlign w:val="bottom"/>
            <w:gridSpan w:val="2"/>
          </w:tcPr>
          <w:p>
            <w:pPr>
              <w:jc w:val="right"/>
              <w:ind w:right="137"/>
              <w:spacing w:after="0" w:line="142" w:lineRule="exact"/>
              <w:rPr>
                <w:sz w:val="20"/>
                <w:szCs w:val="20"/>
                <w:color w:val="auto"/>
              </w:rPr>
            </w:pPr>
            <w:r>
              <w:rPr>
                <w:rFonts w:ascii="Times New Roman" w:cs="Times New Roman" w:eastAsia="Times New Roman" w:hAnsi="Times New Roman"/>
                <w:sz w:val="13"/>
                <w:szCs w:val="13"/>
                <w:color w:val="auto"/>
              </w:rPr>
              <w:t>0.83%</w:t>
            </w:r>
          </w:p>
        </w:tc>
        <w:tc>
          <w:tcPr>
            <w:tcW w:w="146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0.88%</w:t>
            </w:r>
          </w:p>
        </w:tc>
        <w:tc>
          <w:tcPr>
            <w:tcW w:w="240" w:type="dxa"/>
            <w:vAlign w:val="bottom"/>
          </w:tcPr>
          <w:p>
            <w:pPr>
              <w:spacing w:after="0"/>
              <w:rPr>
                <w:sz w:val="12"/>
                <w:szCs w:val="12"/>
                <w:color w:val="auto"/>
              </w:rPr>
            </w:pPr>
          </w:p>
        </w:tc>
        <w:tc>
          <w:tcPr>
            <w:tcW w:w="12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0.76%</w:t>
            </w:r>
          </w:p>
        </w:tc>
        <w:tc>
          <w:tcPr>
            <w:tcW w:w="14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0.88%</w:t>
            </w: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Other:</w:t>
            </w: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r>
      <w:tr>
        <w:trPr>
          <w:trHeight w:val="142"/>
        </w:trPr>
        <w:tc>
          <w:tcPr>
            <w:tcW w:w="41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Number of offices</w:t>
            </w: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300" w:type="dxa"/>
            <w:vAlign w:val="bottom"/>
          </w:tcPr>
          <w:p>
            <w:pPr>
              <w:spacing w:after="0"/>
              <w:rPr>
                <w:sz w:val="12"/>
                <w:szCs w:val="12"/>
                <w:color w:val="auto"/>
              </w:rPr>
            </w:pPr>
          </w:p>
        </w:tc>
        <w:tc>
          <w:tcPr>
            <w:tcW w:w="1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3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8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Pr>
          <w:p>
            <w:pPr>
              <w:spacing w:after="0"/>
              <w:rPr>
                <w:sz w:val="12"/>
                <w:szCs w:val="12"/>
                <w:color w:val="auto"/>
              </w:rPr>
            </w:pPr>
          </w:p>
        </w:tc>
      </w:tr>
      <w:tr>
        <w:trPr>
          <w:trHeight w:val="14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Number of full-time equivalent employees</w:t>
            </w:r>
          </w:p>
        </w:tc>
        <w:tc>
          <w:tcPr>
            <w:tcW w:w="10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218</w:t>
            </w:r>
          </w:p>
        </w:tc>
        <w:tc>
          <w:tcPr>
            <w:tcW w:w="3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216</w:t>
            </w: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209</w:t>
            </w: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206</w:t>
            </w:r>
          </w:p>
        </w:tc>
        <w:tc>
          <w:tcPr>
            <w:tcW w:w="2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211</w:t>
            </w:r>
          </w:p>
        </w:tc>
        <w:tc>
          <w:tcPr>
            <w:tcW w:w="180" w:type="dxa"/>
            <w:vAlign w:val="bottom"/>
            <w:shd w:val="clear" w:color="auto" w:fill="CFF0FC"/>
          </w:tcPr>
          <w:p>
            <w:pPr>
              <w:spacing w:after="0"/>
              <w:rPr>
                <w:sz w:val="12"/>
                <w:szCs w:val="12"/>
                <w:color w:val="auto"/>
              </w:rPr>
            </w:pPr>
          </w:p>
        </w:tc>
      </w:tr>
    </w:tbl>
    <w:p>
      <w:pPr>
        <w:spacing w:after="0" w:line="319" w:lineRule="exact"/>
        <w:rPr>
          <w:sz w:val="20"/>
          <w:szCs w:val="20"/>
          <w:color w:val="auto"/>
        </w:rPr>
      </w:pPr>
    </w:p>
    <w:p>
      <w:pPr>
        <w:ind w:left="740" w:hanging="370"/>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spacing w:after="0" w:line="23" w:lineRule="exact"/>
        <w:rPr>
          <w:rFonts w:ascii="Times New Roman" w:cs="Times New Roman" w:eastAsia="Times New Roman" w:hAnsi="Times New Roman"/>
          <w:sz w:val="14"/>
          <w:szCs w:val="14"/>
          <w:color w:val="auto"/>
        </w:rPr>
      </w:pPr>
    </w:p>
    <w:p>
      <w:pPr>
        <w:ind w:left="740" w:hanging="370"/>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represents net interest income divided by average total interest-earning assets.</w:t>
      </w:r>
    </w:p>
    <w:p>
      <w:pPr>
        <w:spacing w:after="0" w:line="16" w:lineRule="exact"/>
        <w:rPr>
          <w:rFonts w:ascii="Times New Roman" w:cs="Times New Roman" w:eastAsia="Times New Roman" w:hAnsi="Times New Roman"/>
          <w:sz w:val="14"/>
          <w:szCs w:val="14"/>
          <w:color w:val="auto"/>
        </w:rPr>
      </w:pPr>
    </w:p>
    <w:p>
      <w:pPr>
        <w:ind w:left="740" w:hanging="370"/>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Efficiency ratio represents noninterest expense divided by the sum of net interest income and noninterest income.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Results of Operations</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Net income for the three months ended March 31, 2026 was $8.6 million compared to net income of $10.1 million for the three months ended December 31, 2025 and net income of $6.0 million for the three months ended March 31, 2025.</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$1.5 million decrease of net income for the three months ended March 31, 2026 compared to the three months ended December 31, 2025 was attributed mainly to a decrease of $1.4 million in non-interest income and increases of $0.6 million non-interest expense and $0.6 million in provision for credit losses, offset by an increase of $0.3 million in net interest income and a decrease of $0.8 million in provision for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$2.7 million increase of net income for the three months ended March 31, 2026 compared to the three months ended March 31, 2025 was largely due to an increase of $6.0 million in net interest income, offset by increases of $1.9 million in provision for credit losses, $0.7 million in provision for income taxes and $0.4 million in non-interest expense and a decrease of $0.3 million in non-interest income.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Net Interest Income and Net Interest Margin</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Net interest income for the three months ended March 31, 2026, increased $0.3 million, or 1.05%, to $28.2 million compared to $27.9 million for the three months ended December 31, 2025 and increased $6.0 million, or 27.13%, compared to $22.2 million for the three months ended March 31, 2025.</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$0.3 million increase in net interest income from the three months ended December 31, 2025 was attributable to decreases of $0.5 million in total interest expense and $0.2 million in total interest and dividend income. The $6.0 million increase in net interest income from the three months ended March 31, 2025 was attributable to an increase of $4.7 million in total interest and dividend income and a decrease of $1.4 million in total interest expense.</w:t>
      </w:r>
    </w:p>
    <w:p>
      <w:pPr>
        <w:spacing w:after="0" w:line="157"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Net interest margin was 3.61% for the three months ended March 31, 2026 compared to 3.57% for the prior quarter, an increase of 4bps and 2.98% for the same period last year, an increase of 63bps.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Income</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Non-interest income for the three months ended March 31, 2026, was $2.0 million, a decrease of $1.4 million, or 41.30%, compared to $3.5 million for the three months ended December 31, 2025, a decrease of $0.3 million, or 14.24%, compared to the three months ended March 31, 2025.</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$1.4 million decrease in non-interest income from the three months ended December 31, 2025 was largely attributable to a decrease of $0.5 million in other non-interest income, grant income of $0.4 million which had been recognized in the prior quarter and a decrease of $0.4 million in late and prepayment charges.</w:t>
      </w:r>
    </w:p>
    <w:p>
      <w:pPr>
        <w:spacing w:after="0" w:line="145"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The $0.3 million decrease in non-interest income from the three months ended March 31, 2025 was largely attributable to a decrease of $0.4 million in income on sale of SBA loans.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Non-interest Expense</w:t>
      </w:r>
    </w:p>
    <w:p>
      <w:pPr>
        <w:spacing w:after="0" w:line="196"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Non-interest expense for the three months ended March 31, 2026 was $17.2 million, an increase of $0.6 million, or 3.64%, compared to $16.6 million for the three months ended December 31, 2025 and an increase of $0.4 million, or 2.08%, compared to $16.9 million for the three months ended March 31, 2025.</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The $0.6 million increase in non-interest expense from the three months ended December 31, 2025 was mainly attributable to increases of $0.6 million in compensation and benefits, $0.3 million in federal deposit insurance and regulatory assessment and $0.1 million in marketing and promotional expenses, partially offset by a decrease of $0.4 million in occupancy and equipment.</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The $0.4 million increase in non-interest expense from the three months ended March 31, 2025 was mainly attributable to increases of $0.8 million in compensation and benefit and $0.1 million in marketing and promotional expenses, partially offset by decreases of $0.3 million in direct loan expenses, $0.2 million in occupancy and equipment and $0.2 million in other operating expenses.</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Quality:</w:t>
      </w:r>
    </w:p>
    <w:p>
      <w:pPr>
        <w:spacing w:after="0" w:line="19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Total non-performing assets and accruing modifications to borrowers experiencing financial difficulty were $23.6 million at March 31, 2026 compared to $30.2 million at December 31, 2025 and $32.0 million at March 31, 2025.</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During the three months ended March 31, 2026, a credit loss provision of $1.7 million on loans was recorded, consisting of $1.3 million charged on the funded portion and $0.4 million charged on the unfunded portion on loans. During the three months ended December 31, 2025, a credit loss provision of $1.1 million on loans was recorded, consisting of $1.5 million charged on the funded portion and $0.4 million benefit on the unfunded portion on loans. During the three months ended March 31, 2025, a credit loss benefit of $0.3 million on loans was recorded, consisting of $0.7 million charged on the funded portion on loans and a benefit of $1.0 million on the unfunded portion on loans.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410845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Balance Sheet Summary</w:t>
      </w:r>
    </w:p>
    <w:p>
      <w:pPr>
        <w:spacing w:after="0" w:line="19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Total assets increased $76.8 million, or 2.38%, to $3.30 billion as of March 31, 2026 from $3.22 billion as of December 31, 2025. The increase in total assets is largely attributable to increases of $99.4 million in net loans receivable, $2.0 million in other assets, $1.4 million in accrued interest receivable and $0.2 million in deferred tax assets, partially offset by decreases of $9.5 million in held-to-maturity securities, $8.9 million in cash and cash equivalents, $5.0 million in available-for-sale securities, $1.3 million in mortgage loans held for sale, $1.1 million in Federal Home Loan Bank of New York stock and $0.5 million in premises and equipment, net.</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Total liabilities increased $67.0 million, or 2.50%, to $2.75 billion as of March 31, 2026 from $2.68 billion as of December 31, 2025. The increase in total liabilities was largely attributable to increases of $87.2 million in deposits, $4.2 million in other liabilities and $0.6 million in accrued interest payable, partially offset by a decrease of $25.0 million in borrowings.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Total stockholders’ equity increased $9.8 million, or 1.81%, to $551.4 million as of March 31, 2026, from $541.5 million as of December 31, 2025. The $9.8 million increase in stockholders’ equity was largely attributable to $8.6 million in net income, $0.6 million impact to additional paid in capital as a result of share-based compensation, $0.6 million from release of ESOP shares and $0.2 million from exercise of stock options and $0.1 million in other comprehensive income, offset by $0.3 million related to the dividend paid on preferred shares during the quarter ended March 31, 2026.</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Ponce Financial Group, Inc.</w:t>
      </w:r>
    </w:p>
    <w:p>
      <w:pPr>
        <w:spacing w:after="0" w:line="16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Ponce Financial Group, Inc. is the holding company for Ponce Bank, N.A. Ponce Bank, N.A. is a Minority Depository Institution, a Community Development Financial Institution, and a certified Small Business Administration lender. Ponce Bank, N.A.’s business primarily consists of taking deposits from the general public and to a lesser extent alternative funding sources and investing those funds, together with funds generated from operations and borrowings, in mortgage loans, consisting of 1-4 family residences (investor-owned and owner-occupied), multifamily residences, nonresidential properties, construction and land, and, to a lesser extent, in business and consumer loans. Ponce Bank. N.A. also invests in securities, which consist of U.S. Government and federal agency securities and securities issued by government-sponsored or government-owned enterprises, as well as, mortgage-backed securities, corporate bonds and obligations, Federal Home Loan Bank stock and Federal Reserve Bank stock.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Certain statements herein constitute forward-looking statements within the meaning of Section 27A of the Securities Act of 1933, as amended, and Section 21E of the Exchange Act and are intended to be covered by the safe harbor provisions of the Private Securities Litigation Reform Act of 1995. Such statements may be identified by words such as “believes,” “will,” “would,” “expects,” “project,” “may,” “could,” “developments,” “strategic,” “launching,” “opportunities,” “anticipates,” “estimates,” “intends,” “plans,” “targets” and similar expressions. These statements are based upon the current beliefs and expectations of management and are subject to significant risks and uncertainties. Actual results may differ materially from those set forth in the forward-looking statements as a result of numerous factors. Factors that could cause such differences to exist include, but are not limited to, adverse conditions in the capital and debt markets and the impact of such conditions on business activities; changes in interest rates; competitive pressures from other financial institutions; the effects of general economic conditions on a national basis or in the local markets in which Ponce Bank, N.A. operates, including changes that adversely affect borrowers’ ability to service and repay Ponce Bank, N.A.’s loans; changes in U.S. trade policies, including the imposition of tariffs and retaliatory tariffs, and their related impacts on the economy; changes in the global economy, including negative changes that may arise from armed conflict and geopolitical instability; changes in the value of securities in the investment portfolio; changes in loan default and charge-off rates; fluctuations in real estate values; the adequacy of loan loss reserves; decreases in deposit levels necessitating increased borrowing to fund loans and investments; operational risks including, but not limited to, cybersecurity, fraud and natural disasters; changes in government regulation; changes in accounting standards and practices; the risk that intangibles recorded in the financial statements will become impaired; demand for loans in Ponce Bank, N.A.’s market area; Ponce Bank, N.A.’s ability to attract and maintain deposits; risks related to the implementation of acquisitions, dispositions, and restructurings; the risk that Ponce Financial Group, Inc. may not be successful in the implementation of its business strategy; changes in assumptions used in making such forward-looking statements and the risk factors described in Ponce Financial Group, Inc.’s Annual Report on Form 10-K and Quarterly Reports on Form 10-Q as filed with the Securities and Exchange Commission (the “SEC”), which are available at the SEC’s website, www.sec.gov. Readers are cautioned not to place undue reliance on these forward-looking statements, which speak only as of the date of this release. Ponce Financial Group, Inc. disclaims any obligation to publicly update or revise any forward-looking statements to reflect changes in underlying assumptions or factors, new information, future events or other changes, except as may be required by applicable law or regulation.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6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Financial Condition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in thousands, except for share data)</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00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r>
      <w:tr>
        <w:trPr>
          <w:trHeight w:val="189"/>
        </w:trPr>
        <w:tc>
          <w:tcPr>
            <w:tcW w:w="4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r>
      <w:tr>
        <w:trPr>
          <w:trHeight w:val="172"/>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Cash</w:t>
            </w: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27,429</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28,511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29,296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35,767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32,113</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Interest-bearing deposits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89,817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97,643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97,780</w:t>
            </w:r>
          </w:p>
        </w:tc>
        <w:tc>
          <w:tcPr>
            <w:tcW w:w="120" w:type="dxa"/>
            <w:vAlign w:val="bottom"/>
          </w:tcPr>
          <w:p>
            <w:pPr>
              <w:spacing w:after="0"/>
              <w:rPr>
                <w:sz w:val="15"/>
                <w:szCs w:val="15"/>
                <w:color w:val="auto"/>
              </w:rPr>
            </w:pPr>
          </w:p>
        </w:tc>
      </w:tr>
      <w:tr>
        <w:trPr>
          <w:trHeight w:val="169"/>
        </w:trPr>
        <w:tc>
          <w:tcPr>
            <w:tcW w:w="4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117,246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126,154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146,579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126,639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129,893</w:t>
            </w:r>
          </w:p>
        </w:tc>
        <w:tc>
          <w:tcPr>
            <w:tcW w:w="120" w:type="dxa"/>
            <w:vAlign w:val="bottom"/>
            <w:shd w:val="clear" w:color="auto" w:fill="CFF0FC"/>
          </w:tcPr>
          <w:p>
            <w:pPr>
              <w:spacing w:after="0"/>
              <w:rPr>
                <w:sz w:val="14"/>
                <w:szCs w:val="14"/>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Available-for-sale securities, at fair value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103,570</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Held-to-maturity securities, at amortized cost</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263,514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272,982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285,125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336,879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358,024</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Placement with banks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Mortgage loans held for sale, at fair value</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3,388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Loans receivable, net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2,698,649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2,599,258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2,490,046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2,458,712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2,370,931</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17,905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19,126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19,008</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16,417</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 of use assets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27,633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27,583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28,295</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28,806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29,496</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Federal Home Loan Bank of New York stock (FHLBNY), at cost</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25,807</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Federal Reserve Bank of New York stock (FRBNY), at cost</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10,706</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10,698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11,629</w:t>
            </w:r>
          </w:p>
        </w:tc>
        <w:tc>
          <w:tcPr>
            <w:tcW w:w="120" w:type="dxa"/>
            <w:vAlign w:val="bottom"/>
          </w:tcPr>
          <w:p>
            <w:pPr>
              <w:spacing w:after="0"/>
              <w:rPr>
                <w:sz w:val="15"/>
                <w:szCs w:val="15"/>
                <w:color w:val="auto"/>
              </w:rPr>
            </w:pPr>
          </w:p>
        </w:tc>
      </w:tr>
      <w:tr>
        <w:trPr>
          <w:trHeight w:val="177"/>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19,141</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17,109</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32,790</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26,363</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3,300,757</w:t>
            </w:r>
          </w:p>
        </w:tc>
        <w:tc>
          <w:tcPr>
            <w:tcW w:w="1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3,223,970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3,157,079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3,153,869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3,089,836</w:t>
            </w:r>
          </w:p>
        </w:tc>
        <w:tc>
          <w:tcPr>
            <w:tcW w:w="120" w:type="dxa"/>
            <w:vAlign w:val="bottom"/>
          </w:tcPr>
          <w:p>
            <w:pPr>
              <w:spacing w:after="0"/>
              <w:rPr>
                <w:sz w:val="14"/>
                <w:szCs w:val="14"/>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3"/>
        </w:trPr>
        <w:tc>
          <w:tcPr>
            <w:tcW w:w="418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Deposits</w:t>
            </w: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2,133,795</w:t>
            </w:r>
          </w:p>
        </w:tc>
        <w:tc>
          <w:tcPr>
            <w:tcW w:w="12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2,046,635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2,063,081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2,053,151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2,017,848</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Borrowings</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521,100</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29,429</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29,353</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30,028</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30,501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31,126</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w:t>
            </w:r>
          </w:p>
        </w:tc>
        <w:tc>
          <w:tcPr>
            <w:tcW w:w="120" w:type="dxa"/>
            <w:vAlign w:val="bottom"/>
          </w:tcPr>
          <w:p>
            <w:pPr>
              <w:spacing w:after="0"/>
              <w:rPr>
                <w:sz w:val="15"/>
                <w:szCs w:val="15"/>
                <w:color w:val="auto"/>
              </w:rPr>
            </w:pPr>
          </w:p>
        </w:tc>
      </w:tr>
      <w:tr>
        <w:trPr>
          <w:trHeight w:val="177"/>
        </w:trPr>
        <w:tc>
          <w:tcPr>
            <w:tcW w:w="4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10,732</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6,545</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8,868</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1,248</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69"/>
        </w:trPr>
        <w:tc>
          <w:tcPr>
            <w:tcW w:w="41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2,749,394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2,682,421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2,627,244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2,632,781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2,575,950</w:t>
            </w:r>
          </w:p>
        </w:tc>
        <w:tc>
          <w:tcPr>
            <w:tcW w:w="120" w:type="dxa"/>
            <w:vAlign w:val="bottom"/>
          </w:tcPr>
          <w:p>
            <w:pPr>
              <w:spacing w:after="0"/>
              <w:rPr>
                <w:sz w:val="14"/>
                <w:szCs w:val="14"/>
                <w:color w:val="auto"/>
              </w:rPr>
            </w:pPr>
          </w:p>
        </w:tc>
      </w:tr>
      <w:tr>
        <w:trPr>
          <w:trHeight w:val="16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Preferred stock, $0.01 par value; 100,000,000 shares authorized</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$0.01 par value; 200,000,000 shares authorized</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Treasury stock, at cost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(5,738)</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(6,164)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(7,270)</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(7,404)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(7,641)</w:t>
            </w: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Additional paid-in-capital</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208,909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207,888</w:t>
            </w:r>
          </w:p>
        </w:tc>
        <w:tc>
          <w:tcPr>
            <w:tcW w:w="120" w:type="dxa"/>
            <w:vAlign w:val="bottom"/>
          </w:tcPr>
          <w:p>
            <w:pPr>
              <w:spacing w:after="0"/>
              <w:rPr>
                <w:sz w:val="15"/>
                <w:szCs w:val="15"/>
                <w:color w:val="auto"/>
              </w:rPr>
            </w:pP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Retained earnings</w:t>
            </w: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143,674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135,332</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125,477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119,250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113,432</w:t>
            </w:r>
          </w:p>
        </w:tc>
        <w:tc>
          <w:tcPr>
            <w:tcW w:w="120" w:type="dxa"/>
            <w:vAlign w:val="bottom"/>
            <w:shd w:val="clear" w:color="auto" w:fill="CFF0FC"/>
          </w:tcPr>
          <w:p>
            <w:pPr>
              <w:spacing w:after="0"/>
              <w:rPr>
                <w:sz w:val="15"/>
                <w:szCs w:val="15"/>
                <w:color w:val="auto"/>
              </w:rPr>
            </w:pPr>
          </w:p>
        </w:tc>
      </w:tr>
      <w:tr>
        <w:trPr>
          <w:trHeight w:val="177"/>
        </w:trPr>
        <w:tc>
          <w:tcPr>
            <w:tcW w:w="41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(10,680)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(10,820)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(11,586)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(13,047)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(13,515)</w:t>
            </w:r>
          </w:p>
        </w:tc>
      </w:tr>
      <w:tr>
        <w:trPr>
          <w:trHeight w:val="177"/>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Unearned compensation ─ ESOP</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(10,361)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(10,652)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(10,944)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(11,235)</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(11,527)</w:t>
            </w:r>
          </w:p>
        </w:tc>
      </w:tr>
      <w:tr>
        <w:trPr>
          <w:trHeight w:val="169"/>
        </w:trPr>
        <w:tc>
          <w:tcPr>
            <w:tcW w:w="418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551,363</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541,549</w:t>
            </w:r>
          </w:p>
        </w:tc>
        <w:tc>
          <w:tcPr>
            <w:tcW w:w="120" w:type="dxa"/>
            <w:vAlign w:val="bottom"/>
            <w:tcBorders>
              <w:top w:val="single" w:sz="8" w:color="CFF0FC"/>
            </w:tcBorders>
          </w:tcPr>
          <w:p>
            <w:pPr>
              <w:spacing w:after="0"/>
              <w:rPr>
                <w:sz w:val="14"/>
                <w:szCs w:val="14"/>
                <w:color w:val="auto"/>
              </w:rPr>
            </w:pPr>
          </w:p>
        </w:tc>
        <w:tc>
          <w:tcPr>
            <w:tcW w:w="140" w:type="dxa"/>
            <w:vAlign w:val="bottom"/>
            <w:tcBorders>
              <w:top w:val="single" w:sz="8" w:color="CFF0FC"/>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529,835</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521,088</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513,886</w:t>
            </w:r>
          </w:p>
        </w:tc>
        <w:tc>
          <w:tcPr>
            <w:tcW w:w="120" w:type="dxa"/>
            <w:vAlign w:val="bottom"/>
            <w:tcBorders>
              <w:top w:val="single" w:sz="8" w:color="CFF0FC"/>
            </w:tcBorders>
          </w:tcPr>
          <w:p>
            <w:pPr>
              <w:spacing w:after="0"/>
              <w:rPr>
                <w:sz w:val="14"/>
                <w:szCs w:val="14"/>
                <w:color w:val="auto"/>
              </w:rPr>
            </w:pPr>
          </w:p>
        </w:tc>
      </w:tr>
      <w:tr>
        <w:trPr>
          <w:trHeight w:val="209"/>
        </w:trPr>
        <w:tc>
          <w:tcPr>
            <w:tcW w:w="41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3,300,757</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3,223,970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3,157,079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3,153,869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3,089,836</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3428365</wp:posOffset>
            </wp:positionH>
            <wp:positionV relativeFrom="paragraph">
              <wp:posOffset>-2334895</wp:posOffset>
            </wp:positionV>
            <wp:extent cx="749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-2334895</wp:posOffset>
            </wp:positionV>
            <wp:extent cx="7493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-2334895</wp:posOffset>
            </wp:positionV>
            <wp:extent cx="673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-2334895</wp:posOffset>
            </wp:positionV>
            <wp:extent cx="6731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-2334895</wp:posOffset>
            </wp:positionV>
            <wp:extent cx="6731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-1403985</wp:posOffset>
            </wp:positionV>
            <wp:extent cx="749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-1403985</wp:posOffset>
            </wp:positionV>
            <wp:extent cx="7493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-1403985</wp:posOffset>
            </wp:positionV>
            <wp:extent cx="6731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-1403985</wp:posOffset>
            </wp:positionV>
            <wp:extent cx="6731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-1403985</wp:posOffset>
            </wp:positionV>
            <wp:extent cx="6731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-262255</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-262255</wp:posOffset>
            </wp:positionV>
            <wp:extent cx="7493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-262255</wp:posOffset>
            </wp:positionV>
            <wp:extent cx="6731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-262255</wp:posOffset>
            </wp:positionV>
            <wp:extent cx="6731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-262255</wp:posOffset>
            </wp:positionV>
            <wp:extent cx="6731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-21590</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3428365</wp:posOffset>
            </wp:positionH>
            <wp:positionV relativeFrom="paragraph">
              <wp:posOffset>-6985</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-21590</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-6985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-21590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-6985</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-21590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-6985</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5"/>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53"/>
              <w:spacing w:after="0" w:line="11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0" w:type="dxa"/>
            <w:vAlign w:val="bottom"/>
          </w:tcPr>
          <w:p>
            <w:pPr>
              <w:spacing w:after="0"/>
              <w:rPr>
                <w:sz w:val="9"/>
                <w:szCs w:val="9"/>
                <w:color w:val="auto"/>
              </w:rPr>
            </w:pPr>
          </w:p>
        </w:tc>
        <w:tc>
          <w:tcPr>
            <w:tcW w:w="80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9"/>
                <w:szCs w:val="9"/>
                <w:color w:val="auto"/>
              </w:rPr>
            </w:pPr>
          </w:p>
        </w:tc>
        <w:tc>
          <w:tcPr>
            <w:tcW w:w="1040" w:type="dxa"/>
            <w:vAlign w:val="bottom"/>
            <w:gridSpan w:val="3"/>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 w:type="dxa"/>
            <w:vAlign w:val="bottom"/>
          </w:tcPr>
          <w:p>
            <w:pPr>
              <w:spacing w:after="0"/>
              <w:rPr>
                <w:sz w:val="9"/>
                <w:szCs w:val="9"/>
                <w:color w:val="auto"/>
              </w:rPr>
            </w:pPr>
          </w:p>
        </w:tc>
        <w:tc>
          <w:tcPr>
            <w:tcW w:w="700" w:type="dxa"/>
            <w:vAlign w:val="bottom"/>
          </w:tcPr>
          <w:p>
            <w:pPr>
              <w:jc w:val="right"/>
              <w:ind w:right="93"/>
              <w:spacing w:after="0" w:line="115"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ind w:right="73"/>
              <w:spacing w:after="0" w:line="115"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63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Interest and dividend income:</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on loans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43,982</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43,599</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41,486</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40,291</w:t>
            </w:r>
          </w:p>
        </w:tc>
        <w:tc>
          <w:tcPr>
            <w:tcW w:w="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37,136</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on deposits due from banks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1,209</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978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807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1,668</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and dividend on securities and FHLBNY stock</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3,910</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4,013</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4,383</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4,762</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5,193</w:t>
            </w:r>
          </w:p>
        </w:tc>
        <w:tc>
          <w:tcPr>
            <w:tcW w:w="1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6300" w:type="dxa"/>
            <w:vAlign w:val="bottom"/>
            <w:tcBorders>
              <w:bottom w:val="single" w:sz="8" w:color="CFF0FC"/>
            </w:tcBorders>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Total interest and dividend income</w:t>
            </w:r>
          </w:p>
        </w:tc>
        <w:tc>
          <w:tcPr>
            <w:tcW w:w="10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48,662</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48,821</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46,847</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45,860</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8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43,997</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3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on certificates of deposit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6,415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6,706</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6,553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7,382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7,754</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on other deposits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9,106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9,996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9,058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8,554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Interest on borrowings</w:t>
            </w: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5,391</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5,075</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5,050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4,994</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5,486</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6300" w:type="dxa"/>
            <w:vAlign w:val="bottom"/>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Total interest expense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20,436</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20,887</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21,599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21,434</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21,794</w:t>
            </w:r>
          </w:p>
        </w:tc>
        <w:tc>
          <w:tcPr>
            <w:tcW w:w="1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300" w:type="dxa"/>
            <w:vAlign w:val="bottom"/>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Net interest income</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28,226</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27,934</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25,248</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24,426</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22,203</w:t>
            </w: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Provision (benefit) for credit losses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1,078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(285)</w:t>
            </w:r>
          </w:p>
        </w:tc>
      </w:tr>
      <w:tr>
        <w:trPr>
          <w:trHeight w:val="134"/>
        </w:trPr>
        <w:tc>
          <w:tcPr>
            <w:tcW w:w="20" w:type="dxa"/>
            <w:vAlign w:val="bottom"/>
          </w:tcPr>
          <w:p>
            <w:pPr>
              <w:spacing w:after="0"/>
              <w:rPr>
                <w:sz w:val="11"/>
                <w:szCs w:val="11"/>
                <w:color w:val="auto"/>
              </w:rPr>
            </w:pPr>
          </w:p>
        </w:tc>
        <w:tc>
          <w:tcPr>
            <w:tcW w:w="6300" w:type="dxa"/>
            <w:vAlign w:val="bottom"/>
            <w:tcBorders>
              <w:bottom w:val="single" w:sz="8" w:color="CFF0FC"/>
            </w:tcBorders>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Net interest income after provision (benefit) for credit losses</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26,570</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68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26,856</w:t>
            </w:r>
          </w:p>
        </w:tc>
        <w:tc>
          <w:tcPr>
            <w:tcW w:w="16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23,884</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0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22,800</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80" w:type="dxa"/>
            <w:vAlign w:val="bottom"/>
            <w:tcBorders>
              <w:top w:val="single" w:sz="8" w:color="auto"/>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22,488</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3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Non-interest income: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Service charges and fees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542</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539</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511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525</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Brokerage commissions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Late and prepayment charges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726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1,173</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530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697</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Income on sale of mortgage loans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169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Income on sale of SBA loans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404</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Grant income</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w:t>
            </w: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1,174</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422</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603</w:t>
            </w:r>
          </w:p>
        </w:tc>
        <w:tc>
          <w:tcPr>
            <w:tcW w:w="120" w:type="dxa"/>
            <w:vAlign w:val="bottom"/>
            <w:shd w:val="clear" w:color="auto" w:fill="CFF0FC"/>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6300" w:type="dxa"/>
            <w:vAlign w:val="bottom"/>
            <w:tcBorders>
              <w:top w:val="single" w:sz="8" w:color="CFF0FC"/>
            </w:tcBorders>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Total non-interest income</w:t>
            </w:r>
          </w:p>
        </w:tc>
        <w:tc>
          <w:tcPr>
            <w:tcW w:w="1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2,042</w:t>
            </w: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3,479</w:t>
            </w:r>
          </w:p>
        </w:tc>
        <w:tc>
          <w:tcPr>
            <w:tcW w:w="160" w:type="dxa"/>
            <w:vAlign w:val="bottom"/>
            <w:tcBorders>
              <w:top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1,492</w:t>
            </w: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2,060</w:t>
            </w: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2,381</w:t>
            </w:r>
          </w:p>
        </w:tc>
        <w:tc>
          <w:tcPr>
            <w:tcW w:w="120" w:type="dxa"/>
            <w:vAlign w:val="bottom"/>
            <w:tcBorders>
              <w:top w:val="single" w:sz="8" w:color="CFF0FC"/>
            </w:tcBorders>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3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color w:val="auto"/>
              </w:rPr>
              <w:t>Non-interest expense:</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Compensation and benefits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8,663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8,113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7,868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7,627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7,780</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Occupancy and equipment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3,672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4,033</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3,934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3,907</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3,913</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Data processing expenses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1,296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1,188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1,152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Direct loan expenses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116</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155</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241</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388</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Insurance and surety bond premiums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324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297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315</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Office supplies, telephone and postage</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193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186</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170</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170</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Professional fees</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1,392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1,364</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Marketing and promotional expenses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228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266</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FF0FC"/>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Federal deposit insurance and regulatory assessment</w:t>
            </w: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461</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Other operating expenses</w:t>
            </w: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1,056</w:t>
            </w:r>
          </w:p>
        </w:tc>
        <w:tc>
          <w:tcPr>
            <w:tcW w:w="1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1,018</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1,256</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1,262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6300" w:type="dxa"/>
            <w:vAlign w:val="bottom"/>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Total non-interest expense</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17,240</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16,634</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16,618</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16,869</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16,888</w:t>
            </w:r>
          </w:p>
        </w:tc>
        <w:tc>
          <w:tcPr>
            <w:tcW w:w="120" w:type="dxa"/>
            <w:vAlign w:val="bottom"/>
          </w:tcPr>
          <w:p>
            <w:pPr>
              <w:spacing w:after="0"/>
              <w:rPr>
                <w:sz w:val="11"/>
                <w:szCs w:val="11"/>
                <w:color w:val="auto"/>
              </w:rPr>
            </w:pPr>
          </w:p>
        </w:tc>
      </w:tr>
      <w:tr>
        <w:trPr>
          <w:trHeight w:val="134"/>
        </w:trPr>
        <w:tc>
          <w:tcPr>
            <w:tcW w:w="20" w:type="dxa"/>
            <w:vAlign w:val="bottom"/>
          </w:tcPr>
          <w:p>
            <w:pPr>
              <w:spacing w:after="0"/>
              <w:rPr>
                <w:sz w:val="11"/>
                <w:szCs w:val="11"/>
                <w:color w:val="auto"/>
              </w:rPr>
            </w:pPr>
          </w:p>
        </w:tc>
        <w:tc>
          <w:tcPr>
            <w:tcW w:w="6300" w:type="dxa"/>
            <w:vAlign w:val="bottom"/>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11,372</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13,701</w:t>
            </w: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8,758</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7,991</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7,981</w:t>
            </w:r>
          </w:p>
        </w:tc>
        <w:tc>
          <w:tcPr>
            <w:tcW w:w="120" w:type="dxa"/>
            <w:vAlign w:val="bottom"/>
            <w:shd w:val="clear" w:color="auto" w:fill="CFF0F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Provision for income taxes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2,749</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3,565</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2,250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1,891</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2,022</w:t>
            </w:r>
          </w:p>
        </w:tc>
        <w:tc>
          <w:tcPr>
            <w:tcW w:w="1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6300" w:type="dxa"/>
            <w:vAlign w:val="bottom"/>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8,623</w:t>
            </w:r>
          </w:p>
        </w:tc>
        <w:tc>
          <w:tcPr>
            <w:tcW w:w="280" w:type="dxa"/>
            <w:vAlign w:val="bottom"/>
            <w:gridSpan w:val="2"/>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10,136</w:t>
            </w:r>
          </w:p>
        </w:tc>
        <w:tc>
          <w:tcPr>
            <w:tcW w:w="320" w:type="dxa"/>
            <w:vAlign w:val="bottom"/>
            <w:gridSpan w:val="2"/>
            <w:shd w:val="clear" w:color="auto" w:fill="CFF0FC"/>
          </w:tcPr>
          <w:p>
            <w:pPr>
              <w:jc w:val="right"/>
              <w:ind w:right="40"/>
              <w:spacing w:after="0" w:line="134"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6,508</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6,100</w:t>
            </w:r>
          </w:p>
        </w:tc>
        <w:tc>
          <w:tcPr>
            <w:tcW w:w="260" w:type="dxa"/>
            <w:vAlign w:val="bottom"/>
            <w:gridSpan w:val="2"/>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5,959</w:t>
            </w:r>
          </w:p>
        </w:tc>
        <w:tc>
          <w:tcPr>
            <w:tcW w:w="120" w:type="dxa"/>
            <w:vAlign w:val="bottom"/>
            <w:shd w:val="clear" w:color="auto" w:fill="CFF0FC"/>
          </w:tcPr>
          <w:p>
            <w:pPr>
              <w:spacing w:after="0"/>
              <w:rPr>
                <w:sz w:val="11"/>
                <w:szCs w:val="11"/>
                <w:color w:val="auto"/>
              </w:rPr>
            </w:pPr>
          </w:p>
        </w:tc>
      </w:tr>
      <w:tr>
        <w:trPr>
          <w:trHeight w:val="166"/>
        </w:trPr>
        <w:tc>
          <w:tcPr>
            <w:tcW w:w="20" w:type="dxa"/>
            <w:vAlign w:val="bottom"/>
          </w:tcPr>
          <w:p>
            <w:pPr>
              <w:spacing w:after="0"/>
              <w:rPr>
                <w:sz w:val="14"/>
                <w:szCs w:val="14"/>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4"/>
                <w:szCs w:val="14"/>
                <w:color w:val="auto"/>
              </w:rPr>
              <w:t>Dividends on preferred shares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Net income available to common stockholders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9,855</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120" w:type="dxa"/>
            <w:vAlign w:val="bottom"/>
            <w:shd w:val="clear" w:color="auto" w:fill="CFF0FC"/>
          </w:tcPr>
          <w:p>
            <w:pPr>
              <w:spacing w:after="0"/>
              <w:rPr>
                <w:sz w:val="18"/>
                <w:szCs w:val="18"/>
                <w:color w:val="auto"/>
              </w:rPr>
            </w:pPr>
          </w:p>
        </w:tc>
      </w:tr>
      <w:tr>
        <w:trPr>
          <w:trHeight w:val="117"/>
        </w:trPr>
        <w:tc>
          <w:tcPr>
            <w:tcW w:w="20" w:type="dxa"/>
            <w:vAlign w:val="bottom"/>
          </w:tcPr>
          <w:p>
            <w:pPr>
              <w:spacing w:after="0"/>
              <w:rPr>
                <w:sz w:val="10"/>
                <w:szCs w:val="10"/>
                <w:color w:val="auto"/>
              </w:rPr>
            </w:pPr>
          </w:p>
        </w:tc>
        <w:tc>
          <w:tcPr>
            <w:tcW w:w="6300" w:type="dxa"/>
            <w:vAlign w:val="bottom"/>
            <w:tcBorders>
              <w:top w:val="single" w:sz="8" w:color="CFF0FC"/>
            </w:tcBorders>
          </w:tcPr>
          <w:p>
            <w:pPr>
              <w:spacing w:after="0" w:line="118" w:lineRule="exact"/>
              <w:rPr>
                <w:sz w:val="20"/>
                <w:szCs w:val="20"/>
                <w:color w:val="auto"/>
              </w:rPr>
            </w:pPr>
            <w:r>
              <w:rPr>
                <w:rFonts w:ascii="Times New Roman" w:cs="Times New Roman" w:eastAsia="Times New Roman" w:hAnsi="Times New Roman"/>
                <w:sz w:val="13"/>
                <w:szCs w:val="13"/>
                <w:color w:val="auto"/>
              </w:rPr>
              <w:t>Earnings per common share:</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6300" w:type="dxa"/>
            <w:vAlign w:val="bottom"/>
            <w:tcBorders>
              <w:bottom w:val="single" w:sz="8" w:color="CFF0FC"/>
            </w:tcBorders>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color w:val="auto"/>
              </w:rPr>
              <w:t>Basic</w:t>
            </w: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0.36</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0.43</w:t>
            </w:r>
          </w:p>
        </w:tc>
        <w:tc>
          <w:tcPr>
            <w:tcW w:w="1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0.27</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0.26</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0.25</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630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color w:val="auto"/>
              </w:rPr>
              <w:t>Diluted</w:t>
            </w:r>
          </w:p>
        </w:tc>
        <w:tc>
          <w:tcPr>
            <w:tcW w:w="1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0.36</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0.42</w:t>
            </w:r>
          </w:p>
        </w:tc>
        <w:tc>
          <w:tcPr>
            <w:tcW w:w="160" w:type="dxa"/>
            <w:vAlign w:val="bottom"/>
          </w:tcPr>
          <w:p>
            <w:pPr>
              <w:spacing w:after="0"/>
              <w:rPr>
                <w:sz w:val="10"/>
                <w:szCs w:val="10"/>
                <w:color w:val="auto"/>
              </w:rPr>
            </w:pPr>
          </w:p>
        </w:tc>
        <w:tc>
          <w:tcPr>
            <w:tcW w:w="160" w:type="dxa"/>
            <w:vAlign w:val="bottom"/>
            <w:tcBorders>
              <w:bottom w:val="single" w:sz="8" w:color="auto"/>
            </w:tcBorders>
          </w:tcPr>
          <w:p>
            <w:pPr>
              <w:jc w:val="right"/>
              <w:ind w:right="40"/>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0.27</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0.25</w:t>
            </w:r>
          </w:p>
        </w:tc>
        <w:tc>
          <w:tcPr>
            <w:tcW w:w="1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color w:val="auto"/>
              </w:rPr>
              <w:t>0.25</w:t>
            </w:r>
          </w:p>
        </w:tc>
        <w:tc>
          <w:tcPr>
            <w:tcW w:w="1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630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color w:val="auto"/>
              </w:rPr>
              <w:t>Weighted average common shares outstanding:</w:t>
            </w: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r>
      <w:tr>
        <w:trPr>
          <w:trHeight w:val="142"/>
        </w:trPr>
        <w:tc>
          <w:tcPr>
            <w:tcW w:w="20" w:type="dxa"/>
            <w:vAlign w:val="bottom"/>
          </w:tcPr>
          <w:p>
            <w:pPr>
              <w:spacing w:after="0"/>
              <w:rPr>
                <w:sz w:val="12"/>
                <w:szCs w:val="12"/>
                <w:color w:val="auto"/>
              </w:rPr>
            </w:pPr>
          </w:p>
        </w:tc>
        <w:tc>
          <w:tcPr>
            <w:tcW w:w="6300" w:type="dxa"/>
            <w:vAlign w:val="bottom"/>
          </w:tcPr>
          <w:p>
            <w:pPr>
              <w:ind w:left="200"/>
              <w:spacing w:after="0" w:line="134" w:lineRule="exact"/>
              <w:rPr>
                <w:sz w:val="20"/>
                <w:szCs w:val="20"/>
                <w:color w:val="auto"/>
              </w:rPr>
            </w:pPr>
            <w:r>
              <w:rPr>
                <w:rFonts w:ascii="Times New Roman" w:cs="Times New Roman" w:eastAsia="Times New Roman" w:hAnsi="Times New Roman"/>
                <w:sz w:val="13"/>
                <w:szCs w:val="13"/>
                <w:color w:val="auto"/>
              </w:rPr>
              <w:t>Basic</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22,988,317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22,837,044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22,766,195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22,716,615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22,662,916</w:t>
            </w:r>
          </w:p>
        </w:tc>
        <w:tc>
          <w:tcPr>
            <w:tcW w:w="1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6300" w:type="dxa"/>
            <w:vAlign w:val="bottom"/>
            <w:tcBorders>
              <w:bottom w:val="single" w:sz="8" w:color="CFF0FC"/>
            </w:tcBorders>
            <w:shd w:val="clear" w:color="auto" w:fill="CFF0FC"/>
          </w:tcPr>
          <w:p>
            <w:pPr>
              <w:ind w:left="200"/>
              <w:spacing w:after="0" w:line="134" w:lineRule="exact"/>
              <w:rPr>
                <w:sz w:val="20"/>
                <w:szCs w:val="20"/>
                <w:color w:val="auto"/>
              </w:rPr>
            </w:pPr>
            <w:r>
              <w:rPr>
                <w:rFonts w:ascii="Times New Roman" w:cs="Times New Roman" w:eastAsia="Times New Roman" w:hAnsi="Times New Roman"/>
                <w:sz w:val="13"/>
                <w:szCs w:val="13"/>
                <w:color w:val="auto"/>
              </w:rPr>
              <w:t>Diluted</w:t>
            </w:r>
          </w:p>
        </w:tc>
        <w:tc>
          <w:tcPr>
            <w:tcW w:w="10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23,331,314</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23,263,708</w:t>
            </w:r>
          </w:p>
        </w:tc>
        <w:tc>
          <w:tcPr>
            <w:tcW w:w="1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23,135,448</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22,947,769</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3"/>
                <w:szCs w:val="13"/>
                <w:color w:val="auto"/>
              </w:rPr>
              <w:t>22,876,740</w:t>
            </w:r>
          </w:p>
        </w:tc>
        <w:tc>
          <w:tcPr>
            <w:tcW w:w="120" w:type="dxa"/>
            <w:vAlign w:val="bottom"/>
            <w:tcBorders>
              <w:bottom w:val="single" w:sz="8" w:color="CFF0FC"/>
            </w:tcBorders>
            <w:shd w:val="clear" w:color="auto" w:fill="CFF0FC"/>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4532630</wp:posOffset>
            </wp:positionH>
            <wp:positionV relativeFrom="paragraph">
              <wp:posOffset>-3836670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-3836670</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-3836670</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-3836670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-3836670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-3469005</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-3469005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-3469005</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-3469005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-3469005</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-3086100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-3086100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-3086100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-3086100</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-3086100</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-2357755</wp:posOffset>
            </wp:positionV>
            <wp:extent cx="6731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-2357755</wp:posOffset>
            </wp:positionV>
            <wp:extent cx="6731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-2357755</wp:posOffset>
            </wp:positionV>
            <wp:extent cx="673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-2357755</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-2357755</wp:posOffset>
            </wp:positionV>
            <wp:extent cx="6731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-1261110</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-1261110</wp:posOffset>
            </wp:positionV>
            <wp:extent cx="6731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-1261110</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-1261110</wp:posOffset>
            </wp:positionV>
            <wp:extent cx="6731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-1261110</wp:posOffset>
            </wp:positionV>
            <wp:extent cx="6731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-652780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-637540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-652780</wp:posOffset>
            </wp:positionV>
            <wp:extent cx="6731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-637540</wp:posOffset>
            </wp:positionV>
            <wp:extent cx="6731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-652780</wp:posOffset>
            </wp:positionV>
            <wp:extent cx="6731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-637540</wp:posOffset>
            </wp:positionV>
            <wp:extent cx="6731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-652780</wp:posOffset>
            </wp:positionV>
            <wp:extent cx="6731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-637540</wp:posOffset>
            </wp:positionV>
            <wp:extent cx="6731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-652780</wp:posOffset>
            </wp:positionV>
            <wp:extent cx="6731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-637540</wp:posOffset>
            </wp:positionV>
            <wp:extent cx="6731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-450215</wp:posOffset>
            </wp:positionV>
            <wp:extent cx="6731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-434975</wp:posOffset>
            </wp:positionV>
            <wp:extent cx="6731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-450215</wp:posOffset>
            </wp:positionV>
            <wp:extent cx="6731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-434975</wp:posOffset>
            </wp:positionV>
            <wp:extent cx="6731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-450215</wp:posOffset>
            </wp:positionV>
            <wp:extent cx="6731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-434975</wp:posOffset>
            </wp:positionV>
            <wp:extent cx="6731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-450215</wp:posOffset>
            </wp:positionV>
            <wp:extent cx="6731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-434975</wp:posOffset>
            </wp:positionV>
            <wp:extent cx="6731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-450215</wp:posOffset>
            </wp:positionV>
            <wp:extent cx="6731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-434975</wp:posOffset>
            </wp:positionV>
            <wp:extent cx="6731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-21590</wp:posOffset>
            </wp:positionV>
            <wp:extent cx="6731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4532630</wp:posOffset>
            </wp:positionH>
            <wp:positionV relativeFrom="paragraph">
              <wp:posOffset>-6985</wp:posOffset>
            </wp:positionV>
            <wp:extent cx="6731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-21590</wp:posOffset>
            </wp:positionV>
            <wp:extent cx="6731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-6985</wp:posOffset>
            </wp:positionV>
            <wp:extent cx="6731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-21590</wp:posOffset>
            </wp:positionV>
            <wp:extent cx="6731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5801360</wp:posOffset>
            </wp:positionH>
            <wp:positionV relativeFrom="paragraph">
              <wp:posOffset>-6985</wp:posOffset>
            </wp:positionV>
            <wp:extent cx="6731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-21590</wp:posOffset>
            </wp:positionV>
            <wp:extent cx="6731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-6985</wp:posOffset>
            </wp:positionV>
            <wp:extent cx="6731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-21590</wp:posOffset>
            </wp:positionV>
            <wp:extent cx="6731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-6985</wp:posOffset>
            </wp:positionV>
            <wp:extent cx="6731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940" w:type="dxa"/>
            <w:vAlign w:val="bottom"/>
            <w:gridSpan w:val="10"/>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75"/>
        </w:trPr>
        <w:tc>
          <w:tcPr>
            <w:tcW w:w="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9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180" w:type="dxa"/>
            <w:vAlign w:val="bottom"/>
          </w:tcPr>
          <w:p>
            <w:pPr>
              <w:spacing w:after="0"/>
              <w:rPr>
                <w:sz w:val="15"/>
                <w:szCs w:val="15"/>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16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on loans receivable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43,982</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37,136</w:t>
            </w:r>
          </w:p>
        </w:tc>
        <w:tc>
          <w:tcPr>
            <w:tcW w:w="1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18.43%</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 on deposits due from banks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(898)</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(53.84%)</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and dividend on securities and FHLBNY stock</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(1,283)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(24.71%)</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interest and dividend income</w:t>
            </w: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43,997</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4,665</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10.60%</w:t>
            </w:r>
          </w:p>
        </w:tc>
      </w:tr>
      <w:tr>
        <w:trPr>
          <w:trHeight w:val="169"/>
        </w:trPr>
        <w:tc>
          <w:tcPr>
            <w:tcW w:w="20" w:type="dxa"/>
            <w:vAlign w:val="bottom"/>
          </w:tcPr>
          <w:p>
            <w:pPr>
              <w:spacing w:after="0"/>
              <w:rPr>
                <w:sz w:val="14"/>
                <w:szCs w:val="14"/>
                <w:color w:val="auto"/>
              </w:rPr>
            </w:pPr>
          </w:p>
        </w:tc>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6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 on certificates of deposit</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6,415</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7,754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(1,339)</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(17.27%)</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on other deposits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0.89%</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Interest on borrowings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(95)</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(1.73%)</w:t>
            </w: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interest expense</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(6.23%)</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28,226</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22,203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6,023</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27.13%</w:t>
            </w:r>
          </w:p>
        </w:tc>
      </w:tr>
      <w:tr>
        <w:trPr>
          <w:trHeight w:val="177"/>
        </w:trPr>
        <w:tc>
          <w:tcPr>
            <w:tcW w:w="20" w:type="dxa"/>
            <w:vAlign w:val="bottom"/>
          </w:tcPr>
          <w:p>
            <w:pPr>
              <w:spacing w:after="0"/>
              <w:rPr>
                <w:sz w:val="15"/>
                <w:szCs w:val="15"/>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Provision (benefit) for credit losses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(285)</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140" w:type="dxa"/>
            <w:vAlign w:val="bottom"/>
          </w:tcPr>
          <w:p>
            <w:pPr>
              <w:spacing w:after="0"/>
              <w:rPr>
                <w:sz w:val="15"/>
                <w:szCs w:val="15"/>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(681.05%)</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Net interest income after provision (benefit) for credit losses</w:t>
            </w: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26,570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18.15%</w:t>
            </w:r>
          </w:p>
        </w:tc>
      </w:tr>
      <w:tr>
        <w:trPr>
          <w:trHeight w:val="169"/>
        </w:trPr>
        <w:tc>
          <w:tcPr>
            <w:tcW w:w="20" w:type="dxa"/>
            <w:vAlign w:val="bottom"/>
          </w:tcPr>
          <w:p>
            <w:pPr>
              <w:spacing w:after="0"/>
              <w:rPr>
                <w:sz w:val="14"/>
                <w:szCs w:val="14"/>
                <w:color w:val="auto"/>
              </w:rPr>
            </w:pPr>
          </w:p>
        </w:tc>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16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Service charges and fees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2.67%</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Brokerage commissions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Late and prepayment charges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697</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4.16%</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on sale of mortgage loans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(18.92%)</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Income on sale of SBA loans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(404)</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8.96%</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non-interest income</w:t>
            </w: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(339)</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(14.24%)</w:t>
            </w:r>
          </w:p>
        </w:tc>
      </w:tr>
      <w:tr>
        <w:trPr>
          <w:trHeight w:val="169"/>
        </w:trPr>
        <w:tc>
          <w:tcPr>
            <w:tcW w:w="20" w:type="dxa"/>
            <w:vAlign w:val="bottom"/>
          </w:tcPr>
          <w:p>
            <w:pPr>
              <w:spacing w:after="0"/>
              <w:rPr>
                <w:sz w:val="14"/>
                <w:szCs w:val="14"/>
                <w:color w:val="auto"/>
              </w:rPr>
            </w:pPr>
          </w:p>
        </w:tc>
        <w:tc>
          <w:tcPr>
            <w:tcW w:w="5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64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7,780</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11.35%</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Occupancy and equipment</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(6.16%)</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Data processing expenses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5.82%</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Direct loan expenses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(68.81%)</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Insurance and surety bond premiums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5.71%</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 supplies, telephone and postage</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13.53%</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Professional fees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Marketing and promotional expenses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174.70%</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Federal deposit insurance and regulatory assessments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(52)</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(11.28%)</w:t>
            </w:r>
          </w:p>
        </w:tc>
      </w:tr>
      <w:tr>
        <w:trPr>
          <w:trHeight w:val="177"/>
        </w:trPr>
        <w:tc>
          <w:tcPr>
            <w:tcW w:w="20" w:type="dxa"/>
            <w:vAlign w:val="bottom"/>
          </w:tcPr>
          <w:p>
            <w:pPr>
              <w:spacing w:after="0"/>
              <w:rPr>
                <w:sz w:val="15"/>
                <w:szCs w:val="15"/>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(16.32%)</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b w:val="1"/>
                <w:bCs w:val="1"/>
                <w:color w:val="auto"/>
              </w:rPr>
              <w:t>Total non-interest expense</w:t>
            </w:r>
          </w:p>
        </w:tc>
        <w:tc>
          <w:tcPr>
            <w:tcW w:w="1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17,240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16,888</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4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2.08%</w:t>
            </w: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11,372</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42.49%</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2,749</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35.95%</w:t>
            </w: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8,623</w:t>
            </w:r>
          </w:p>
        </w:tc>
        <w:tc>
          <w:tcPr>
            <w:tcW w:w="16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16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44.71%</w:t>
            </w:r>
          </w:p>
        </w:tc>
      </w:tr>
      <w:tr>
        <w:trPr>
          <w:trHeight w:val="177"/>
        </w:trPr>
        <w:tc>
          <w:tcPr>
            <w:tcW w:w="20" w:type="dxa"/>
            <w:vAlign w:val="bottom"/>
          </w:tcPr>
          <w:p>
            <w:pPr>
              <w:spacing w:after="0"/>
              <w:rPr>
                <w:sz w:val="15"/>
                <w:szCs w:val="15"/>
                <w:color w:val="auto"/>
              </w:rPr>
            </w:pPr>
          </w:p>
        </w:tc>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Dividends on preferred shares</w:t>
            </w:r>
          </w:p>
        </w:tc>
        <w:tc>
          <w:tcPr>
            <w:tcW w:w="16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r>
      <w:tr>
        <w:trPr>
          <w:trHeight w:val="20"/>
        </w:trPr>
        <w:tc>
          <w:tcPr>
            <w:tcW w:w="20" w:type="dxa"/>
            <w:vAlign w:val="bottom"/>
          </w:tcPr>
          <w:p>
            <w:pPr>
              <w:spacing w:after="0" w:line="20" w:lineRule="exact"/>
              <w:rPr>
                <w:sz w:val="1"/>
                <w:szCs w:val="1"/>
                <w:color w:val="auto"/>
              </w:rPr>
            </w:pPr>
          </w:p>
        </w:tc>
        <w:tc>
          <w:tcPr>
            <w:tcW w:w="5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Net income available to common stockholders</w:t>
            </w:r>
          </w:p>
        </w:tc>
        <w:tc>
          <w:tcPr>
            <w:tcW w:w="16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8,342</w:t>
            </w:r>
          </w:p>
        </w:tc>
        <w:tc>
          <w:tcPr>
            <w:tcW w:w="16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5,678</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14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46.92%</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Earnings per common share:</w:t>
            </w:r>
          </w:p>
        </w:tc>
        <w:tc>
          <w:tcPr>
            <w:tcW w:w="1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55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34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4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44.00%</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5520" w:type="dxa"/>
            <w:vAlign w:val="bottom"/>
            <w:shd w:val="clear" w:color="auto" w:fill="CFF0FC"/>
          </w:tcPr>
          <w:p>
            <w:pPr>
              <w:ind w:left="240"/>
              <w:spacing w:after="0" w:line="153" w:lineRule="exact"/>
              <w:rPr>
                <w:sz w:val="20"/>
                <w:szCs w:val="20"/>
                <w:color w:val="auto"/>
              </w:rPr>
            </w:pPr>
            <w:r>
              <w:rPr>
                <w:rFonts w:ascii="Times New Roman" w:cs="Times New Roman" w:eastAsia="Times New Roman" w:hAnsi="Times New Roman"/>
                <w:sz w:val="14"/>
                <w:szCs w:val="14"/>
                <w:color w:val="auto"/>
              </w:rPr>
              <w:t>Diluted</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0.36</w:t>
            </w:r>
          </w:p>
        </w:tc>
        <w:tc>
          <w:tcPr>
            <w:tcW w:w="340" w:type="dxa"/>
            <w:vAlign w:val="bottom"/>
            <w:gridSpan w:val="2"/>
            <w:shd w:val="clear" w:color="auto" w:fill="CFF0FC"/>
          </w:tcPr>
          <w:p>
            <w:pPr>
              <w:jc w:val="right"/>
              <w:ind w:right="29"/>
              <w:spacing w:after="0" w:line="153"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0.25</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53" w:lineRule="exact"/>
              <w:rPr>
                <w:sz w:val="20"/>
                <w:szCs w:val="20"/>
                <w:color w:val="auto"/>
              </w:rPr>
            </w:pPr>
            <w:r>
              <w:rPr>
                <w:rFonts w:ascii="Times New Roman" w:cs="Times New Roman" w:eastAsia="Times New Roman" w:hAnsi="Times New Roman"/>
                <w:sz w:val="14"/>
                <w:szCs w:val="14"/>
                <w:color w:val="auto"/>
              </w:rPr>
              <w:t>0.11</w:t>
            </w: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44.00%</w:t>
            </w:r>
          </w:p>
        </w:tc>
      </w:tr>
      <w:tr>
        <w:trPr>
          <w:trHeight w:val="153"/>
        </w:trPr>
        <w:tc>
          <w:tcPr>
            <w:tcW w:w="20" w:type="dxa"/>
            <w:vAlign w:val="bottom"/>
          </w:tcPr>
          <w:p>
            <w:pPr>
              <w:spacing w:after="0"/>
              <w:rPr>
                <w:sz w:val="13"/>
                <w:szCs w:val="13"/>
                <w:color w:val="auto"/>
              </w:rPr>
            </w:pPr>
          </w:p>
        </w:tc>
        <w:tc>
          <w:tcPr>
            <w:tcW w:w="5520" w:type="dxa"/>
            <w:vAlign w:val="bottom"/>
            <w:tcBorders>
              <w:top w:val="single" w:sz="8" w:color="CFF0FC"/>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64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r>
      <w:tr>
        <w:trPr>
          <w:trHeight w:val="197"/>
        </w:trPr>
        <w:tc>
          <w:tcPr>
            <w:tcW w:w="20" w:type="dxa"/>
            <w:vAlign w:val="bottom"/>
          </w:tcPr>
          <w:p>
            <w:pPr>
              <w:spacing w:after="0"/>
              <w:rPr>
                <w:sz w:val="17"/>
                <w:szCs w:val="17"/>
                <w:color w:val="auto"/>
              </w:rPr>
            </w:pPr>
          </w:p>
        </w:tc>
        <w:tc>
          <w:tcPr>
            <w:tcW w:w="5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16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22,988,317</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22,662,916</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325,401</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1.44%</w:t>
            </w: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5520" w:type="dxa"/>
            <w:vAlign w:val="bottom"/>
          </w:tcPr>
          <w:p>
            <w:pPr>
              <w:ind w:left="240"/>
              <w:spacing w:after="0" w:line="153" w:lineRule="exact"/>
              <w:rPr>
                <w:sz w:val="20"/>
                <w:szCs w:val="20"/>
                <w:color w:val="auto"/>
              </w:rPr>
            </w:pPr>
            <w:r>
              <w:rPr>
                <w:rFonts w:ascii="Times New Roman" w:cs="Times New Roman" w:eastAsia="Times New Roman" w:hAnsi="Times New Roman"/>
                <w:sz w:val="14"/>
                <w:szCs w:val="14"/>
                <w:color w:val="auto"/>
              </w:rPr>
              <w:t>Diluted</w:t>
            </w: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23,331,314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22,876,740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454,574</w:t>
            </w:r>
          </w:p>
        </w:tc>
        <w:tc>
          <w:tcPr>
            <w:tcW w:w="140" w:type="dxa"/>
            <w:vAlign w:val="bottom"/>
          </w:tcPr>
          <w:p>
            <w:pPr>
              <w:spacing w:after="0"/>
              <w:rPr>
                <w:sz w:val="13"/>
                <w:szCs w:val="13"/>
                <w:color w:val="auto"/>
              </w:rPr>
            </w:pPr>
          </w:p>
        </w:tc>
        <w:tc>
          <w:tcPr>
            <w:tcW w:w="1140" w:type="dxa"/>
            <w:vAlign w:val="bottom"/>
            <w:gridSpan w:val="2"/>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1.99%</w:t>
            </w: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5110480</wp:posOffset>
            </wp:positionH>
            <wp:positionV relativeFrom="paragraph">
              <wp:posOffset>-4587875</wp:posOffset>
            </wp:positionV>
            <wp:extent cx="6731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-4587875</wp:posOffset>
            </wp:positionV>
            <wp:extent cx="6731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-4587875</wp:posOffset>
            </wp:positionV>
            <wp:extent cx="673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-4587875</wp:posOffset>
            </wp:positionV>
            <wp:extent cx="112395"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-4130040</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-4130040</wp:posOffset>
            </wp:positionV>
            <wp:extent cx="6731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-4130040</wp:posOffset>
            </wp:positionV>
            <wp:extent cx="6731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-4130040</wp:posOffset>
            </wp:positionV>
            <wp:extent cx="112395"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-3656330</wp:posOffset>
            </wp:positionV>
            <wp:extent cx="6731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-3656330</wp:posOffset>
            </wp:positionV>
            <wp:extent cx="6731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-3656330</wp:posOffset>
            </wp:positionV>
            <wp:extent cx="6731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-3656330</wp:posOffset>
            </wp:positionV>
            <wp:extent cx="112395"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-2740660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-2740660</wp:posOffset>
            </wp:positionV>
            <wp:extent cx="6731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-2740660</wp:posOffset>
            </wp:positionV>
            <wp:extent cx="6731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-2740660</wp:posOffset>
            </wp:positionV>
            <wp:extent cx="11239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-1373505</wp:posOffset>
            </wp:positionV>
            <wp:extent cx="6731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-1373505</wp:posOffset>
            </wp:positionV>
            <wp:extent cx="6731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-1373505</wp:posOffset>
            </wp:positionV>
            <wp:extent cx="6731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-1373505</wp:posOffset>
            </wp:positionV>
            <wp:extent cx="11239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-1141095</wp:posOffset>
            </wp:positionV>
            <wp:extent cx="6731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-1141095</wp:posOffset>
            </wp:positionV>
            <wp:extent cx="6731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-1141095</wp:posOffset>
            </wp:positionV>
            <wp:extent cx="6731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-1141095</wp:posOffset>
            </wp:positionV>
            <wp:extent cx="112395"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-908050</wp:posOffset>
            </wp:positionV>
            <wp:extent cx="6731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-908050</wp:posOffset>
            </wp:positionV>
            <wp:extent cx="6731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-908050</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-908050</wp:posOffset>
            </wp:positionV>
            <wp:extent cx="11239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-405130</wp:posOffset>
            </wp:positionV>
            <wp:extent cx="6731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-389890</wp:posOffset>
            </wp:positionV>
            <wp:extent cx="6731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-405130</wp:posOffset>
            </wp:positionV>
            <wp:extent cx="6731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-389890</wp:posOffset>
            </wp:positionV>
            <wp:extent cx="6731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-405130</wp:posOffset>
            </wp:positionV>
            <wp:extent cx="6731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-389890</wp:posOffset>
            </wp:positionV>
            <wp:extent cx="6731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-405130</wp:posOffset>
            </wp:positionV>
            <wp:extent cx="11239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-389890</wp:posOffset>
            </wp:positionV>
            <wp:extent cx="11239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-156845</wp:posOffset>
            </wp:positionV>
            <wp:extent cx="6731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5110480</wp:posOffset>
            </wp:positionH>
            <wp:positionV relativeFrom="paragraph">
              <wp:posOffset>-142240</wp:posOffset>
            </wp:positionV>
            <wp:extent cx="6731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-156845</wp:posOffset>
            </wp:positionV>
            <wp:extent cx="6731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5794375</wp:posOffset>
            </wp:positionH>
            <wp:positionV relativeFrom="paragraph">
              <wp:posOffset>-142240</wp:posOffset>
            </wp:positionV>
            <wp:extent cx="6731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-156845</wp:posOffset>
            </wp:positionV>
            <wp:extent cx="6731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-142240</wp:posOffset>
            </wp:positionV>
            <wp:extent cx="6731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-156845</wp:posOffset>
            </wp:positionV>
            <wp:extent cx="11239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2395" cy="7620"/>
                    </a:xfrm>
                    <a:prstGeom prst="rect">
                      <a:avLst/>
                    </a:prstGeom>
                    <a:noFill/>
                  </pic:spPr>
                </pic:pic>
              </a:graphicData>
            </a:graphic>
          </wp:anchor>
        </w:drawing>
        <w:drawing>
          <wp:anchor simplePos="0" relativeHeight="251657728" behindDoc="1" locked="0" layoutInCell="0" allowOverlap="1">
            <wp:simplePos x="0" y="0"/>
            <wp:positionH relativeFrom="column">
              <wp:posOffset>7033260</wp:posOffset>
            </wp:positionH>
            <wp:positionV relativeFrom="paragraph">
              <wp:posOffset>-142240</wp:posOffset>
            </wp:positionV>
            <wp:extent cx="11239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395" cy="762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Loans Receivable excluding Mortgage Loans Held for Sale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As of</w:t>
            </w: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09"/>
        </w:trPr>
        <w:tc>
          <w:tcPr>
            <w:tcW w:w="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tcPr>
          <w:p>
            <w:pPr>
              <w:jc w:val="right"/>
              <w:ind w:right="620"/>
              <w:spacing w:after="0" w:line="109"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00" w:type="dxa"/>
            <w:vAlign w:val="bottom"/>
          </w:tcPr>
          <w:p>
            <w:pPr>
              <w:spacing w:after="0"/>
              <w:rPr>
                <w:sz w:val="9"/>
                <w:szCs w:val="9"/>
                <w:color w:val="auto"/>
              </w:rPr>
            </w:pPr>
          </w:p>
        </w:tc>
        <w:tc>
          <w:tcPr>
            <w:tcW w:w="1500" w:type="dxa"/>
            <w:vAlign w:val="bottom"/>
            <w:gridSpan w:val="4"/>
          </w:tcPr>
          <w:p>
            <w:pPr>
              <w:jc w:val="right"/>
              <w:ind w:right="540"/>
              <w:spacing w:after="0" w:line="10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c>
          <w:tcPr>
            <w:tcW w:w="1480" w:type="dxa"/>
            <w:vAlign w:val="bottom"/>
            <w:gridSpan w:val="4"/>
          </w:tcPr>
          <w:p>
            <w:pPr>
              <w:jc w:val="right"/>
              <w:ind w:right="520"/>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Pr>
          <w:p>
            <w:pPr>
              <w:spacing w:after="0"/>
              <w:rPr>
                <w:sz w:val="9"/>
                <w:szCs w:val="9"/>
                <w:color w:val="auto"/>
              </w:rPr>
            </w:pPr>
          </w:p>
        </w:tc>
        <w:tc>
          <w:tcPr>
            <w:tcW w:w="820" w:type="dxa"/>
            <w:vAlign w:val="bottom"/>
            <w:gridSpan w:val="2"/>
          </w:tcPr>
          <w:p>
            <w:pPr>
              <w:jc w:val="right"/>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tcPr>
          <w:p>
            <w:pPr>
              <w:ind w:left="360"/>
              <w:spacing w:after="0" w:line="109"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Pr>
          <w:p>
            <w:pPr>
              <w:spacing w:after="0"/>
              <w:rPr>
                <w:sz w:val="9"/>
                <w:szCs w:val="9"/>
                <w:color w:val="auto"/>
              </w:rPr>
            </w:pPr>
          </w:p>
        </w:tc>
      </w:tr>
      <w:tr>
        <w:trPr>
          <w:trHeight w:val="143"/>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5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b w:val="1"/>
                <w:bCs w:val="1"/>
                <w:color w:val="auto"/>
              </w:rPr>
              <w:t>Amount</w:t>
            </w:r>
          </w:p>
        </w:tc>
        <w:tc>
          <w:tcPr>
            <w:tcW w:w="54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Amount</w:t>
            </w:r>
          </w:p>
        </w:tc>
        <w:tc>
          <w:tcPr>
            <w:tcW w:w="560" w:type="dxa"/>
            <w:vAlign w:val="bottom"/>
          </w:tcPr>
          <w:p>
            <w:pPr>
              <w:jc w:val="right"/>
              <w:ind w:right="18"/>
              <w:spacing w:after="0" w:line="122"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60"/>
              <w:spacing w:after="0" w:line="122" w:lineRule="exact"/>
              <w:rPr>
                <w:sz w:val="20"/>
                <w:szCs w:val="20"/>
                <w:color w:val="auto"/>
              </w:rPr>
            </w:pPr>
            <w:r>
              <w:rPr>
                <w:rFonts w:ascii="Times New Roman" w:cs="Times New Roman" w:eastAsia="Times New Roman" w:hAnsi="Times New Roman"/>
                <w:sz w:val="12"/>
                <w:szCs w:val="12"/>
                <w:b w:val="1"/>
                <w:bCs w:val="1"/>
                <w:color w:val="auto"/>
              </w:rPr>
              <w:t>Amount</w:t>
            </w:r>
          </w:p>
        </w:tc>
        <w:tc>
          <w:tcPr>
            <w:tcW w:w="50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3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620" w:type="dxa"/>
            <w:vAlign w:val="bottom"/>
          </w:tcPr>
          <w:p>
            <w:pPr>
              <w:ind w:left="100"/>
              <w:spacing w:after="0" w:line="122" w:lineRule="exact"/>
              <w:rPr>
                <w:sz w:val="20"/>
                <w:szCs w:val="20"/>
                <w:color w:val="auto"/>
              </w:rPr>
            </w:pPr>
            <w:r>
              <w:rPr>
                <w:rFonts w:ascii="Times New Roman" w:cs="Times New Roman" w:eastAsia="Times New Roman" w:hAnsi="Times New Roman"/>
                <w:sz w:val="12"/>
                <w:szCs w:val="12"/>
                <w:b w:val="1"/>
                <w:bCs w:val="1"/>
                <w:color w:val="auto"/>
              </w:rPr>
              <w:t>Percent</w:t>
            </w:r>
          </w:p>
        </w:tc>
        <w:tc>
          <w:tcPr>
            <w:tcW w:w="12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(Dollars in</w:t>
            </w:r>
          </w:p>
        </w:tc>
        <w:tc>
          <w:tcPr>
            <w:tcW w:w="140" w:type="dxa"/>
            <w:vAlign w:val="bottom"/>
          </w:tcPr>
          <w:p>
            <w:pPr>
              <w:spacing w:after="0"/>
              <w:rPr>
                <w:sz w:val="10"/>
                <w:szCs w:val="10"/>
                <w:color w:val="auto"/>
              </w:rPr>
            </w:pPr>
          </w:p>
        </w:tc>
        <w:tc>
          <w:tcPr>
            <w:tcW w:w="560" w:type="dxa"/>
            <w:vAlign w:val="bottom"/>
            <w:tcBorders>
              <w:top w:val="single" w:sz="8" w:color="auto"/>
            </w:tcBorders>
          </w:tcPr>
          <w:p>
            <w:pPr>
              <w:jc w:val="right"/>
              <w:ind w:right="58"/>
              <w:spacing w:after="0" w:line="122" w:lineRule="exact"/>
              <w:rPr>
                <w:sz w:val="20"/>
                <w:szCs w:val="20"/>
                <w:color w:val="auto"/>
              </w:rPr>
            </w:pPr>
            <w:r>
              <w:rPr>
                <w:rFonts w:ascii="Times New Roman" w:cs="Times New Roman" w:eastAsia="Times New Roman" w:hAnsi="Times New Roman"/>
                <w:sz w:val="12"/>
                <w:szCs w:val="12"/>
                <w:b w:val="1"/>
                <w:bCs w:val="1"/>
                <w:color w:val="auto"/>
                <w:w w:val="74"/>
              </w:rPr>
              <w:t>thousands)</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Mortgage loans:</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1-4 family residential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431,377</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15.82%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434,374</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16.54%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444,602</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17.67%</w:t>
            </w:r>
          </w:p>
        </w:tc>
        <w:tc>
          <w:tcPr>
            <w:tcW w:w="1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452,350</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18.21%</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463,542</w:t>
            </w:r>
          </w:p>
        </w:tc>
        <w:tc>
          <w:tcPr>
            <w:tcW w:w="16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19.37%</w:t>
            </w: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Multifamily residential</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915,333</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33.58%</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756,542</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28.83%</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688,574</w:t>
            </w:r>
          </w:p>
        </w:tc>
        <w:tc>
          <w:tcPr>
            <w:tcW w:w="14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27.39%</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693,670</w:t>
            </w:r>
          </w:p>
        </w:tc>
        <w:tc>
          <w:tcPr>
            <w:tcW w:w="22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27.96%</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675,541</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28.24%</w:t>
            </w: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Nonresidential properties</w:t>
            </w: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534,256</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19.60%</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526,210</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436,175</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17.35%</w:t>
            </w:r>
          </w:p>
        </w:tc>
        <w:tc>
          <w:tcPr>
            <w:tcW w:w="1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404,512</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16.30%</w:t>
            </w:r>
          </w:p>
        </w:tc>
        <w:tc>
          <w:tcPr>
            <w:tcW w:w="1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390,681</w:t>
            </w:r>
          </w:p>
        </w:tc>
        <w:tc>
          <w:tcPr>
            <w:tcW w:w="16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16.33%</w:t>
            </w: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Construction and land</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763,990</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28.03%</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854,096</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32.54%</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886,369</w:t>
            </w:r>
          </w:p>
        </w:tc>
        <w:tc>
          <w:tcPr>
            <w:tcW w:w="14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35.25%</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883,462</w:t>
            </w:r>
          </w:p>
        </w:tc>
        <w:tc>
          <w:tcPr>
            <w:tcW w:w="22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35.59%</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815,425</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34.08%</w:t>
            </w: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mortgage loans</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2,644,956</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97.03%</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2,571,222</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97.96%</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2,455,720</w:t>
            </w:r>
          </w:p>
        </w:tc>
        <w:tc>
          <w:tcPr>
            <w:tcW w:w="14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97.66%</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2,433,994</w:t>
            </w:r>
          </w:p>
        </w:tc>
        <w:tc>
          <w:tcPr>
            <w:tcW w:w="22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98.06%</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2,345,189</w:t>
            </w:r>
          </w:p>
        </w:tc>
        <w:tc>
          <w:tcPr>
            <w:tcW w:w="16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98.02%</w:t>
            </w: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Non-mortgage loans:</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20" w:type="dxa"/>
            <w:vAlign w:val="bottom"/>
            <w:tcBorders>
              <w:right w:val="single" w:sz="8" w:color="CFF0FC"/>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20" w:type="dxa"/>
            <w:vAlign w:val="bottom"/>
          </w:tcPr>
          <w:p>
            <w:pPr>
              <w:spacing w:after="0"/>
              <w:rPr>
                <w:sz w:val="11"/>
                <w:szCs w:val="11"/>
                <w:color w:val="auto"/>
              </w:rPr>
            </w:pPr>
          </w:p>
        </w:tc>
        <w:tc>
          <w:tcPr>
            <w:tcW w:w="326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Business loans</w:t>
            </w:r>
          </w:p>
        </w:tc>
        <w:tc>
          <w:tcPr>
            <w:tcW w:w="10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80,366</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53,063</w:t>
            </w: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2.02%</w:t>
            </w:r>
          </w:p>
        </w:tc>
        <w:tc>
          <w:tcPr>
            <w:tcW w:w="10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58,012</w:t>
            </w:r>
          </w:p>
        </w:tc>
        <w:tc>
          <w:tcPr>
            <w:tcW w:w="140" w:type="dxa"/>
            <w:vAlign w:val="bottom"/>
          </w:tcPr>
          <w:p>
            <w:pPr>
              <w:spacing w:after="0"/>
              <w:rPr>
                <w:sz w:val="11"/>
                <w:szCs w:val="11"/>
                <w:color w:val="auto"/>
              </w:rPr>
            </w:pPr>
          </w:p>
        </w:tc>
        <w:tc>
          <w:tcPr>
            <w:tcW w:w="72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2.31%</w:t>
            </w:r>
          </w:p>
        </w:tc>
        <w:tc>
          <w:tcPr>
            <w:tcW w:w="1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47,372</w:t>
            </w:r>
          </w:p>
        </w:tc>
        <w:tc>
          <w:tcPr>
            <w:tcW w:w="220" w:type="dxa"/>
            <w:vAlign w:val="bottom"/>
          </w:tcPr>
          <w:p>
            <w:pPr>
              <w:spacing w:after="0"/>
              <w:rPr>
                <w:sz w:val="11"/>
                <w:szCs w:val="11"/>
                <w:color w:val="auto"/>
              </w:rPr>
            </w:pPr>
          </w:p>
        </w:tc>
        <w:tc>
          <w:tcPr>
            <w:tcW w:w="660" w:type="dxa"/>
            <w:vAlign w:val="bottom"/>
            <w:gridSpan w:val="2"/>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1"/>
                <w:szCs w:val="11"/>
                <w:color w:val="auto"/>
              </w:rPr>
            </w:pPr>
          </w:p>
        </w:tc>
        <w:tc>
          <w:tcPr>
            <w:tcW w:w="6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46,329</w:t>
            </w:r>
          </w:p>
        </w:tc>
        <w:tc>
          <w:tcPr>
            <w:tcW w:w="160" w:type="dxa"/>
            <w:vAlign w:val="bottom"/>
          </w:tcPr>
          <w:p>
            <w:pPr>
              <w:spacing w:after="0"/>
              <w:rPr>
                <w:sz w:val="11"/>
                <w:szCs w:val="11"/>
                <w:color w:val="auto"/>
              </w:rPr>
            </w:pPr>
          </w:p>
        </w:tc>
        <w:tc>
          <w:tcPr>
            <w:tcW w:w="74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1.94%</w:t>
            </w: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Consumer loans</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596</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625</w:t>
            </w:r>
          </w:p>
        </w:tc>
        <w:tc>
          <w:tcPr>
            <w:tcW w:w="16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727</w:t>
            </w:r>
          </w:p>
        </w:tc>
        <w:tc>
          <w:tcPr>
            <w:tcW w:w="140" w:type="dxa"/>
            <w:vAlign w:val="bottom"/>
            <w:shd w:val="clear" w:color="auto" w:fill="CFF0FC"/>
          </w:tcPr>
          <w:p>
            <w:pPr>
              <w:spacing w:after="0"/>
              <w:rPr>
                <w:sz w:val="11"/>
                <w:szCs w:val="11"/>
                <w:color w:val="auto"/>
              </w:rPr>
            </w:pPr>
          </w:p>
        </w:tc>
        <w:tc>
          <w:tcPr>
            <w:tcW w:w="720" w:type="dxa"/>
            <w:vAlign w:val="bottom"/>
            <w:tcBorders>
              <w:right w:val="single" w:sz="8" w:color="CFF0FC"/>
            </w:tcBorders>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0.03%</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840</w:t>
            </w:r>
          </w:p>
        </w:tc>
        <w:tc>
          <w:tcPr>
            <w:tcW w:w="220" w:type="dxa"/>
            <w:vAlign w:val="bottom"/>
            <w:tcBorders>
              <w:right w:val="single" w:sz="8" w:color="CFF0FC"/>
            </w:tcBorders>
            <w:shd w:val="clear" w:color="auto" w:fill="CFF0FC"/>
          </w:tcPr>
          <w:p>
            <w:pPr>
              <w:spacing w:after="0"/>
              <w:rPr>
                <w:sz w:val="11"/>
                <w:szCs w:val="11"/>
                <w:color w:val="auto"/>
              </w:rPr>
            </w:pPr>
          </w:p>
        </w:tc>
        <w:tc>
          <w:tcPr>
            <w:tcW w:w="660" w:type="dxa"/>
            <w:vAlign w:val="bottom"/>
            <w:gridSpan w:val="2"/>
            <w:shd w:val="clear" w:color="auto" w:fill="CFF0FC"/>
          </w:tcPr>
          <w:p>
            <w:pPr>
              <w:jc w:val="right"/>
              <w:ind w:right="60"/>
              <w:spacing w:after="0" w:line="130" w:lineRule="exact"/>
              <w:rPr>
                <w:sz w:val="20"/>
                <w:szCs w:val="20"/>
                <w:color w:val="auto"/>
              </w:rPr>
            </w:pPr>
            <w:r>
              <w:rPr>
                <w:rFonts w:ascii="Times New Roman" w:cs="Times New Roman" w:eastAsia="Times New Roman" w:hAnsi="Times New Roman"/>
                <w:sz w:val="13"/>
                <w:szCs w:val="13"/>
                <w:color w:val="auto"/>
              </w:rPr>
              <w:t>0.03%</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997</w:t>
            </w:r>
          </w:p>
        </w:tc>
        <w:tc>
          <w:tcPr>
            <w:tcW w:w="1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0.04%</w:t>
            </w: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Total non-mortgage loans</w:t>
            </w:r>
          </w:p>
        </w:tc>
        <w:tc>
          <w:tcPr>
            <w:tcW w:w="10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80,962</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2.97%</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53,688</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58,739</w:t>
            </w:r>
          </w:p>
        </w:tc>
        <w:tc>
          <w:tcPr>
            <w:tcW w:w="140" w:type="dxa"/>
            <w:vAlign w:val="bottom"/>
          </w:tcPr>
          <w:p>
            <w:pPr>
              <w:spacing w:after="0"/>
              <w:rPr>
                <w:sz w:val="10"/>
                <w:szCs w:val="10"/>
                <w:color w:val="auto"/>
              </w:rPr>
            </w:pPr>
          </w:p>
        </w:tc>
        <w:tc>
          <w:tcPr>
            <w:tcW w:w="72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48,212</w:t>
            </w:r>
          </w:p>
        </w:tc>
        <w:tc>
          <w:tcPr>
            <w:tcW w:w="220" w:type="dxa"/>
            <w:vAlign w:val="bottom"/>
          </w:tcPr>
          <w:p>
            <w:pPr>
              <w:spacing w:after="0"/>
              <w:rPr>
                <w:sz w:val="10"/>
                <w:szCs w:val="10"/>
                <w:color w:val="auto"/>
              </w:rPr>
            </w:pPr>
          </w:p>
        </w:tc>
        <w:tc>
          <w:tcPr>
            <w:tcW w:w="660" w:type="dxa"/>
            <w:vAlign w:val="bottom"/>
            <w:gridSpan w:val="2"/>
          </w:tcPr>
          <w:p>
            <w:pPr>
              <w:jc w:val="right"/>
              <w:ind w:right="60"/>
              <w:spacing w:after="0" w:line="122" w:lineRule="exact"/>
              <w:rPr>
                <w:sz w:val="20"/>
                <w:szCs w:val="20"/>
                <w:color w:val="auto"/>
              </w:rPr>
            </w:pPr>
            <w:r>
              <w:rPr>
                <w:rFonts w:ascii="Times New Roman" w:cs="Times New Roman" w:eastAsia="Times New Roman" w:hAnsi="Times New Roman"/>
                <w:sz w:val="13"/>
                <w:szCs w:val="13"/>
                <w:color w:val="auto"/>
              </w:rPr>
              <w:t>1.94%</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47,326</w:t>
            </w:r>
          </w:p>
        </w:tc>
        <w:tc>
          <w:tcPr>
            <w:tcW w:w="160" w:type="dxa"/>
            <w:vAlign w:val="bottom"/>
          </w:tcPr>
          <w:p>
            <w:pPr>
              <w:spacing w:after="0"/>
              <w:rPr>
                <w:sz w:val="10"/>
                <w:szCs w:val="10"/>
                <w:color w:val="auto"/>
              </w:rPr>
            </w:pPr>
          </w:p>
        </w:tc>
        <w:tc>
          <w:tcPr>
            <w:tcW w:w="74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1.98%</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32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color w:val="auto"/>
              </w:rPr>
              <w:t>Total loans, gross</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2,725,918</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100.00%</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2,624,910</w:t>
            </w:r>
          </w:p>
        </w:tc>
        <w:tc>
          <w:tcPr>
            <w:tcW w:w="16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100.00%</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2,514,459</w:t>
            </w:r>
          </w:p>
        </w:tc>
        <w:tc>
          <w:tcPr>
            <w:tcW w:w="14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2,482,206</w:t>
            </w:r>
          </w:p>
        </w:tc>
        <w:tc>
          <w:tcPr>
            <w:tcW w:w="220" w:type="dxa"/>
            <w:vAlign w:val="bottom"/>
            <w:tcBorders>
              <w:right w:val="single" w:sz="8" w:color="CFF0FC"/>
            </w:tcBorders>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line="110" w:lineRule="exact"/>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2,392,515</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100.00%</w:t>
            </w:r>
          </w:p>
        </w:tc>
      </w:tr>
      <w:tr>
        <w:trPr>
          <w:trHeight w:val="106"/>
        </w:trPr>
        <w:tc>
          <w:tcPr>
            <w:tcW w:w="20" w:type="dxa"/>
            <w:vAlign w:val="bottom"/>
          </w:tcPr>
          <w:p>
            <w:pPr>
              <w:spacing w:after="0"/>
              <w:rPr>
                <w:sz w:val="9"/>
                <w:szCs w:val="9"/>
                <w:color w:val="auto"/>
              </w:rPr>
            </w:pPr>
          </w:p>
        </w:tc>
        <w:tc>
          <w:tcPr>
            <w:tcW w:w="3260" w:type="dxa"/>
            <w:vAlign w:val="bottom"/>
            <w:tcBorders>
              <w:top w:val="single" w:sz="8" w:color="CFF0FC"/>
            </w:tcBorders>
          </w:tcPr>
          <w:p>
            <w:pPr>
              <w:spacing w:after="0" w:line="106" w:lineRule="exact"/>
              <w:rPr>
                <w:sz w:val="20"/>
                <w:szCs w:val="20"/>
                <w:color w:val="auto"/>
              </w:rPr>
            </w:pPr>
            <w:r>
              <w:rPr>
                <w:rFonts w:ascii="Times New Roman" w:cs="Times New Roman" w:eastAsia="Times New Roman" w:hAnsi="Times New Roman"/>
                <w:sz w:val="12"/>
                <w:szCs w:val="12"/>
                <w:color w:val="auto"/>
              </w:rPr>
              <w:t>Net deferred loan origination costs</w:t>
            </w:r>
          </w:p>
        </w:tc>
        <w:tc>
          <w:tcPr>
            <w:tcW w:w="100" w:type="dxa"/>
            <w:vAlign w:val="bottom"/>
            <w:tcBorders>
              <w:top w:val="single" w:sz="8" w:color="CFF0FC"/>
            </w:tcBorders>
          </w:tcPr>
          <w:p>
            <w:pPr>
              <w:spacing w:after="0"/>
              <w:rPr>
                <w:sz w:val="9"/>
                <w:szCs w:val="9"/>
                <w:color w:val="auto"/>
              </w:rPr>
            </w:pPr>
          </w:p>
        </w:tc>
        <w:tc>
          <w:tcPr>
            <w:tcW w:w="760" w:type="dxa"/>
            <w:vAlign w:val="bottom"/>
            <w:tcBorders>
              <w:top w:val="single" w:sz="8" w:color="CFF0FC"/>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2"/>
                <w:szCs w:val="12"/>
                <w:color w:val="auto"/>
              </w:rPr>
              <w:t>(1,031)</w:t>
            </w: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780" w:type="dxa"/>
            <w:vAlign w:val="bottom"/>
            <w:tcBorders>
              <w:top w:val="single" w:sz="8" w:color="CFF0FC"/>
            </w:tcBorders>
            <w:gridSpan w:val="2"/>
          </w:tcPr>
          <w:p>
            <w:pPr>
              <w:jc w:val="right"/>
              <w:ind w:right="120"/>
              <w:spacing w:after="0" w:line="106" w:lineRule="exact"/>
              <w:rPr>
                <w:sz w:val="20"/>
                <w:szCs w:val="20"/>
                <w:color w:val="auto"/>
              </w:rPr>
            </w:pPr>
            <w:r>
              <w:rPr>
                <w:rFonts w:ascii="Times New Roman" w:cs="Times New Roman" w:eastAsia="Times New Roman" w:hAnsi="Times New Roman"/>
                <w:sz w:val="12"/>
                <w:szCs w:val="12"/>
                <w:color w:val="auto"/>
              </w:rPr>
              <w:t>(203)</w:t>
            </w: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CFF0FC"/>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620" w:type="dxa"/>
            <w:vAlign w:val="bottom"/>
            <w:tcBorders>
              <w:top w:val="single" w:sz="8" w:color="CFF0FC"/>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351</w:t>
            </w:r>
          </w:p>
        </w:tc>
        <w:tc>
          <w:tcPr>
            <w:tcW w:w="140" w:type="dxa"/>
            <w:vAlign w:val="bottom"/>
            <w:tcBorders>
              <w:top w:val="single" w:sz="8" w:color="CFF0FC"/>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0" w:type="dxa"/>
            <w:vAlign w:val="bottom"/>
            <w:tcBorders>
              <w:top w:val="single" w:sz="8" w:color="CFF0FC"/>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606</w:t>
            </w:r>
          </w:p>
        </w:tc>
        <w:tc>
          <w:tcPr>
            <w:tcW w:w="220" w:type="dxa"/>
            <w:vAlign w:val="bottom"/>
            <w:tcBorders>
              <w:top w:val="single" w:sz="8" w:color="CFF0FC"/>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0" w:type="dxa"/>
            <w:vAlign w:val="bottom"/>
            <w:tcBorders>
              <w:top w:val="single" w:sz="8" w:color="CFF0FC"/>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1,390</w:t>
            </w:r>
          </w:p>
        </w:tc>
        <w:tc>
          <w:tcPr>
            <w:tcW w:w="160" w:type="dxa"/>
            <w:vAlign w:val="bottom"/>
            <w:tcBorders>
              <w:top w:val="single" w:sz="8" w:color="CFF0FC"/>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r>
      <w:tr>
        <w:trPr>
          <w:trHeight w:val="130"/>
        </w:trPr>
        <w:tc>
          <w:tcPr>
            <w:tcW w:w="20" w:type="dxa"/>
            <w:vAlign w:val="bottom"/>
          </w:tcPr>
          <w:p>
            <w:pPr>
              <w:spacing w:after="0"/>
              <w:rPr>
                <w:sz w:val="11"/>
                <w:szCs w:val="11"/>
                <w:color w:val="auto"/>
              </w:rPr>
            </w:pPr>
          </w:p>
        </w:tc>
        <w:tc>
          <w:tcPr>
            <w:tcW w:w="32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Allowance for credit losses on loans</w:t>
            </w: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(26,238)</w:t>
            </w: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(25,449)</w:t>
            </w:r>
          </w:p>
        </w:tc>
        <w:tc>
          <w:tcPr>
            <w:tcW w:w="540" w:type="dxa"/>
            <w:vAlign w:val="bottom"/>
            <w:shd w:val="clear" w:color="auto" w:fill="CFF0FC"/>
          </w:tcPr>
          <w:p>
            <w:pPr>
              <w:spacing w:after="0"/>
              <w:rPr>
                <w:sz w:val="11"/>
                <w:szCs w:val="11"/>
                <w:color w:val="auto"/>
              </w:rPr>
            </w:pPr>
          </w:p>
        </w:tc>
        <w:tc>
          <w:tcPr>
            <w:tcW w:w="1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(24,764)</w:t>
            </w:r>
          </w:p>
        </w:tc>
        <w:tc>
          <w:tcPr>
            <w:tcW w:w="56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tcBorders>
              <w:right w:val="single" w:sz="8" w:color="CFF0FC"/>
            </w:tcBorders>
            <w:gridSpan w:val="2"/>
            <w:shd w:val="clear" w:color="auto" w:fill="CFF0FC"/>
          </w:tcPr>
          <w:p>
            <w:pPr>
              <w:jc w:val="right"/>
              <w:ind w:right="160"/>
              <w:spacing w:after="0" w:line="130" w:lineRule="exact"/>
              <w:rPr>
                <w:sz w:val="20"/>
                <w:szCs w:val="20"/>
                <w:color w:val="auto"/>
              </w:rPr>
            </w:pPr>
            <w:r>
              <w:rPr>
                <w:rFonts w:ascii="Times New Roman" w:cs="Times New Roman" w:eastAsia="Times New Roman" w:hAnsi="Times New Roman"/>
                <w:sz w:val="13"/>
                <w:szCs w:val="13"/>
                <w:color w:val="auto"/>
              </w:rPr>
              <w:t>(24,100)</w:t>
            </w:r>
          </w:p>
        </w:tc>
        <w:tc>
          <w:tcPr>
            <w:tcW w:w="5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(22,974)</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22"/>
        </w:trPr>
        <w:tc>
          <w:tcPr>
            <w:tcW w:w="32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Loans, net</w:t>
            </w:r>
          </w:p>
        </w:tc>
        <w:tc>
          <w:tcPr>
            <w:tcW w:w="1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2,698,649</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2,599,258</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2,490,046</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2,458,712</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7"/>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2,370,931</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2527300</wp:posOffset>
            </wp:positionH>
            <wp:positionV relativeFrom="paragraph">
              <wp:posOffset>-817880</wp:posOffset>
            </wp:positionV>
            <wp:extent cx="6731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-817880</wp:posOffset>
            </wp:positionV>
            <wp:extent cx="749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-817880</wp:posOffset>
            </wp:positionV>
            <wp:extent cx="6731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-817880</wp:posOffset>
            </wp:positionV>
            <wp:extent cx="7493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-817880</wp:posOffset>
            </wp:positionV>
            <wp:extent cx="673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-817880</wp:posOffset>
            </wp:positionV>
            <wp:extent cx="7493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-817880</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-817880</wp:posOffset>
            </wp:positionV>
            <wp:extent cx="7493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6582410</wp:posOffset>
            </wp:positionH>
            <wp:positionV relativeFrom="paragraph">
              <wp:posOffset>-817880</wp:posOffset>
            </wp:positionV>
            <wp:extent cx="6731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-817880</wp:posOffset>
            </wp:positionV>
            <wp:extent cx="7493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2527300</wp:posOffset>
            </wp:positionH>
            <wp:positionV relativeFrom="paragraph">
              <wp:posOffset>-480060</wp:posOffset>
            </wp:positionV>
            <wp:extent cx="6731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-480060</wp:posOffset>
            </wp:positionV>
            <wp:extent cx="749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-480060</wp:posOffset>
            </wp:positionV>
            <wp:extent cx="6731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-480060</wp:posOffset>
            </wp:positionV>
            <wp:extent cx="7493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-480060</wp:posOffset>
            </wp:positionV>
            <wp:extent cx="6731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-480060</wp:posOffset>
            </wp:positionV>
            <wp:extent cx="749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-480060</wp:posOffset>
            </wp:positionV>
            <wp:extent cx="6731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-480060</wp:posOffset>
            </wp:positionV>
            <wp:extent cx="7493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6582410</wp:posOffset>
            </wp:positionH>
            <wp:positionV relativeFrom="paragraph">
              <wp:posOffset>-480060</wp:posOffset>
            </wp:positionV>
            <wp:extent cx="6731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-480060</wp:posOffset>
            </wp:positionV>
            <wp:extent cx="749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-299720</wp:posOffset>
            </wp:positionV>
            <wp:extent cx="7493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-284480</wp:posOffset>
            </wp:positionV>
            <wp:extent cx="7493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-299720</wp:posOffset>
            </wp:positionV>
            <wp:extent cx="7493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-284480</wp:posOffset>
            </wp:positionV>
            <wp:extent cx="749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-299720</wp:posOffset>
            </wp:positionV>
            <wp:extent cx="749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-284480</wp:posOffset>
            </wp:positionV>
            <wp:extent cx="749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-299720</wp:posOffset>
            </wp:positionV>
            <wp:extent cx="7493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6019165</wp:posOffset>
            </wp:positionH>
            <wp:positionV relativeFrom="paragraph">
              <wp:posOffset>-284480</wp:posOffset>
            </wp:positionV>
            <wp:extent cx="749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-299720</wp:posOffset>
            </wp:positionV>
            <wp:extent cx="7493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-284480</wp:posOffset>
            </wp:positionV>
            <wp:extent cx="7493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2527300</wp:posOffset>
            </wp:positionH>
            <wp:positionV relativeFrom="paragraph">
              <wp:posOffset>-111760</wp:posOffset>
            </wp:positionV>
            <wp:extent cx="6731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-111760</wp:posOffset>
            </wp:positionV>
            <wp:extent cx="6731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-111760</wp:posOffset>
            </wp:positionV>
            <wp:extent cx="6731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-111760</wp:posOffset>
            </wp:positionV>
            <wp:extent cx="6731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6582410</wp:posOffset>
            </wp:positionH>
            <wp:positionV relativeFrom="paragraph">
              <wp:posOffset>-111760</wp:posOffset>
            </wp:positionV>
            <wp:extent cx="6731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Allowance for Credit Losses on Loans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7"/>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w w:val="97"/>
              </w:rPr>
              <w:t>For the Three Months Ended</w:t>
            </w:r>
          </w:p>
        </w:tc>
        <w:tc>
          <w:tcPr>
            <w:tcW w:w="8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09"/>
        </w:trPr>
        <w:tc>
          <w:tcPr>
            <w:tcW w:w="5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right"/>
              <w:ind w:right="380"/>
              <w:spacing w:after="0" w:line="109"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right"/>
              <w:ind w:right="201"/>
              <w:spacing w:after="0" w:line="109"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tcPr>
          <w:p>
            <w:pPr>
              <w:jc w:val="right"/>
              <w:ind w:right="520"/>
              <w:spacing w:after="0" w:line="109" w:lineRule="exact"/>
              <w:rPr>
                <w:sz w:val="20"/>
                <w:szCs w:val="20"/>
                <w:color w:val="auto"/>
              </w:rPr>
            </w:pPr>
            <w:r>
              <w:rPr>
                <w:rFonts w:ascii="Times New Roman" w:cs="Times New Roman" w:eastAsia="Times New Roman" w:hAnsi="Times New Roman"/>
                <w:sz w:val="12"/>
                <w:szCs w:val="12"/>
                <w:b w:val="1"/>
                <w:bCs w:val="1"/>
                <w:color w:val="auto"/>
              </w:rPr>
              <w:t>June 30,</w:t>
            </w:r>
          </w:p>
        </w:tc>
        <w:tc>
          <w:tcPr>
            <w:tcW w:w="160" w:type="dxa"/>
            <w:vAlign w:val="bottom"/>
          </w:tcPr>
          <w:p>
            <w:pPr>
              <w:spacing w:after="0"/>
              <w:rPr>
                <w:sz w:val="9"/>
                <w:szCs w:val="9"/>
                <w:color w:val="auto"/>
              </w:rPr>
            </w:pPr>
          </w:p>
        </w:tc>
        <w:tc>
          <w:tcPr>
            <w:tcW w:w="880" w:type="dxa"/>
            <w:vAlign w:val="bottom"/>
          </w:tcPr>
          <w:p>
            <w:pPr>
              <w:jc w:val="right"/>
              <w:ind w:right="201"/>
              <w:spacing w:after="0" w:line="109"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20" w:type="dxa"/>
            <w:vAlign w:val="bottom"/>
          </w:tcPr>
          <w:p>
            <w:pPr>
              <w:spacing w:after="0"/>
              <w:rPr>
                <w:sz w:val="9"/>
                <w:szCs w:val="9"/>
                <w:color w:val="auto"/>
              </w:rPr>
            </w:pPr>
          </w:p>
        </w:tc>
      </w:tr>
      <w:tr>
        <w:trPr>
          <w:trHeight w:val="143"/>
        </w:trPr>
        <w:tc>
          <w:tcPr>
            <w:tcW w:w="5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2026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2"/>
                <w:szCs w:val="12"/>
                <w:color w:val="auto"/>
              </w:rPr>
            </w:pPr>
          </w:p>
        </w:tc>
      </w:tr>
      <w:tr>
        <w:trPr>
          <w:trHeight w:val="122"/>
        </w:trPr>
        <w:tc>
          <w:tcPr>
            <w:tcW w:w="5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b w:val="1"/>
                <w:bCs w:val="1"/>
                <w:color w:val="auto"/>
                <w:w w:val="88"/>
              </w:rPr>
              <w:t>(Dollars in thousands)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0"/>
        </w:trPr>
        <w:tc>
          <w:tcPr>
            <w:tcW w:w="524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2"/>
                <w:szCs w:val="12"/>
                <w:color w:val="auto"/>
              </w:rPr>
              <w:t>Allowance for credit losses on loans at beginning of the period</w:t>
            </w:r>
          </w:p>
        </w:tc>
        <w:tc>
          <w:tcPr>
            <w:tcW w:w="1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25,449</w:t>
            </w:r>
          </w:p>
        </w:tc>
        <w:tc>
          <w:tcPr>
            <w:tcW w:w="14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24,764</w:t>
            </w:r>
          </w:p>
        </w:tc>
        <w:tc>
          <w:tcPr>
            <w:tcW w:w="100" w:type="dxa"/>
            <w:vAlign w:val="bottom"/>
            <w:shd w:val="clear" w:color="auto" w:fill="CFF0FC"/>
          </w:tcPr>
          <w:p>
            <w:pPr>
              <w:spacing w:after="0"/>
              <w:rPr>
                <w:sz w:val="11"/>
                <w:szCs w:val="11"/>
                <w:color w:val="auto"/>
              </w:rPr>
            </w:pPr>
          </w:p>
        </w:tc>
        <w:tc>
          <w:tcPr>
            <w:tcW w:w="200" w:type="dxa"/>
            <w:vAlign w:val="bottom"/>
            <w:gridSpan w:val="2"/>
            <w:shd w:val="clear" w:color="auto" w:fill="CFF0FC"/>
          </w:tcPr>
          <w:p>
            <w:pPr>
              <w:ind w:left="100"/>
              <w:spacing w:after="0" w:line="130"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24,100</w:t>
            </w:r>
          </w:p>
        </w:tc>
        <w:tc>
          <w:tcPr>
            <w:tcW w:w="140" w:type="dxa"/>
            <w:vAlign w:val="bottom"/>
            <w:shd w:val="clear" w:color="auto" w:fill="CFF0FC"/>
          </w:tcPr>
          <w:p>
            <w:pPr>
              <w:spacing w:after="0"/>
              <w:rPr>
                <w:sz w:val="11"/>
                <w:szCs w:val="11"/>
                <w:color w:val="auto"/>
              </w:rPr>
            </w:pPr>
          </w:p>
        </w:tc>
        <w:tc>
          <w:tcPr>
            <w:tcW w:w="240" w:type="dxa"/>
            <w:vAlign w:val="bottom"/>
            <w:gridSpan w:val="2"/>
            <w:shd w:val="clear" w:color="auto" w:fill="CFF0FC"/>
          </w:tcPr>
          <w:p>
            <w:pPr>
              <w:jc w:val="right"/>
              <w:ind w:right="47"/>
              <w:spacing w:after="0" w:line="130"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22,974</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22,502</w:t>
            </w:r>
          </w:p>
        </w:tc>
        <w:tc>
          <w:tcPr>
            <w:tcW w:w="120" w:type="dxa"/>
            <w:vAlign w:val="bottom"/>
            <w:shd w:val="clear" w:color="auto" w:fill="CFF0FC"/>
          </w:tcPr>
          <w:p>
            <w:pPr>
              <w:spacing w:after="0"/>
              <w:rPr>
                <w:sz w:val="11"/>
                <w:szCs w:val="11"/>
                <w:color w:val="auto"/>
              </w:rPr>
            </w:pPr>
          </w:p>
        </w:tc>
      </w:tr>
      <w:tr>
        <w:trPr>
          <w:trHeight w:val="130"/>
        </w:trPr>
        <w:tc>
          <w:tcPr>
            <w:tcW w:w="52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Provision for credit losses on loans</w:t>
            </w:r>
          </w:p>
        </w:tc>
        <w:tc>
          <w:tcPr>
            <w:tcW w:w="14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1,293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1,526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864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1,348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731</w:t>
            </w:r>
          </w:p>
        </w:tc>
        <w:tc>
          <w:tcPr>
            <w:tcW w:w="120" w:type="dxa"/>
            <w:vAlign w:val="bottom"/>
          </w:tcPr>
          <w:p>
            <w:pPr>
              <w:spacing w:after="0"/>
              <w:rPr>
                <w:sz w:val="11"/>
                <w:szCs w:val="11"/>
                <w:color w:val="auto"/>
              </w:rPr>
            </w:pPr>
          </w:p>
        </w:tc>
      </w:tr>
      <w:tr>
        <w:trPr>
          <w:trHeight w:val="130"/>
        </w:trPr>
        <w:tc>
          <w:tcPr>
            <w:tcW w:w="524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2"/>
                <w:szCs w:val="12"/>
                <w:color w:val="auto"/>
              </w:rPr>
              <w:t>Charge-offs:</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52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color w:val="auto"/>
              </w:rPr>
              <w:t>Mortgage loans: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5240" w:type="dxa"/>
            <w:vAlign w:val="bottom"/>
            <w:shd w:val="clear" w:color="auto" w:fill="CFF0FC"/>
          </w:tcPr>
          <w:p>
            <w:pPr>
              <w:ind w:left="100"/>
              <w:spacing w:after="0" w:line="130" w:lineRule="exact"/>
              <w:rPr>
                <w:sz w:val="20"/>
                <w:szCs w:val="20"/>
                <w:color w:val="auto"/>
              </w:rPr>
            </w:pPr>
            <w:r>
              <w:rPr>
                <w:rFonts w:ascii="Times New Roman" w:cs="Times New Roman" w:eastAsia="Times New Roman" w:hAnsi="Times New Roman"/>
                <w:sz w:val="12"/>
                <w:szCs w:val="12"/>
                <w:color w:val="auto"/>
              </w:rPr>
              <w:t>1-4 family residential</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(32)</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(38)</w:t>
            </w:r>
          </w:p>
        </w:tc>
      </w:tr>
      <w:tr>
        <w:trPr>
          <w:trHeight w:val="130"/>
        </w:trPr>
        <w:tc>
          <w:tcPr>
            <w:tcW w:w="52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color w:val="auto"/>
              </w:rPr>
              <w:t>Non-mortgage loans: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5240" w:type="dxa"/>
            <w:vAlign w:val="bottom"/>
            <w:shd w:val="clear" w:color="auto" w:fill="CFF0FC"/>
          </w:tcPr>
          <w:p>
            <w:pPr>
              <w:ind w:left="100"/>
              <w:spacing w:after="0" w:line="130" w:lineRule="exact"/>
              <w:rPr>
                <w:sz w:val="20"/>
                <w:szCs w:val="20"/>
                <w:color w:val="auto"/>
              </w:rPr>
            </w:pPr>
            <w:r>
              <w:rPr>
                <w:rFonts w:ascii="Times New Roman" w:cs="Times New Roman" w:eastAsia="Times New Roman" w:hAnsi="Times New Roman"/>
                <w:sz w:val="12"/>
                <w:szCs w:val="12"/>
                <w:color w:val="auto"/>
              </w:rPr>
              <w:t>Business</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(504)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(801)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(222)</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(222)</w:t>
            </w:r>
          </w:p>
        </w:tc>
      </w:tr>
      <w:tr>
        <w:trPr>
          <w:trHeight w:val="130"/>
        </w:trPr>
        <w:tc>
          <w:tcPr>
            <w:tcW w:w="524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color w:val="auto"/>
              </w:rPr>
              <w:t>Consumer</w:t>
            </w:r>
          </w:p>
        </w:tc>
        <w:tc>
          <w:tcPr>
            <w:tcW w:w="140" w:type="dxa"/>
            <w:vAlign w:val="bottom"/>
          </w:tcPr>
          <w:p>
            <w:pPr>
              <w:spacing w:after="0"/>
              <w:rPr>
                <w:sz w:val="11"/>
                <w:szCs w:val="11"/>
                <w:color w:val="auto"/>
              </w:rPr>
            </w:pPr>
          </w:p>
        </w:tc>
        <w:tc>
          <w:tcPr>
            <w:tcW w:w="84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(3)</w:t>
            </w:r>
          </w:p>
        </w:tc>
      </w:tr>
      <w:tr>
        <w:trPr>
          <w:trHeight w:val="20"/>
        </w:trPr>
        <w:tc>
          <w:tcPr>
            <w:tcW w:w="5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2"/>
        </w:trPr>
        <w:tc>
          <w:tcPr>
            <w:tcW w:w="5240" w:type="dxa"/>
            <w:vAlign w:val="bottom"/>
            <w:shd w:val="clear" w:color="auto" w:fill="CFF0FC"/>
          </w:tcPr>
          <w:p>
            <w:pPr>
              <w:ind w:left="180"/>
              <w:spacing w:after="0" w:line="122" w:lineRule="exact"/>
              <w:rPr>
                <w:sz w:val="20"/>
                <w:szCs w:val="20"/>
                <w:color w:val="auto"/>
              </w:rPr>
            </w:pPr>
            <w:r>
              <w:rPr>
                <w:rFonts w:ascii="Times New Roman" w:cs="Times New Roman" w:eastAsia="Times New Roman" w:hAnsi="Times New Roman"/>
                <w:sz w:val="12"/>
                <w:szCs w:val="12"/>
                <w:color w:val="auto"/>
              </w:rPr>
              <w:t>Total charge-offs</w:t>
            </w:r>
          </w:p>
        </w:tc>
        <w:tc>
          <w:tcPr>
            <w:tcW w:w="140" w:type="dxa"/>
            <w:vAlign w:val="bottom"/>
            <w:shd w:val="clear" w:color="auto" w:fill="CFF0FC"/>
          </w:tcPr>
          <w:p>
            <w:pPr>
              <w:spacing w:after="0"/>
              <w:rPr>
                <w:sz w:val="10"/>
                <w:szCs w:val="10"/>
                <w:color w:val="auto"/>
              </w:rPr>
            </w:pPr>
          </w:p>
        </w:tc>
        <w:tc>
          <w:tcPr>
            <w:tcW w:w="98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(504)</w:t>
            </w: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1"/>
              <w:spacing w:after="0" w:line="122" w:lineRule="exact"/>
              <w:rPr>
                <w:sz w:val="20"/>
                <w:szCs w:val="20"/>
                <w:color w:val="auto"/>
              </w:rPr>
            </w:pPr>
            <w:r>
              <w:rPr>
                <w:rFonts w:ascii="Times New Roman" w:cs="Times New Roman" w:eastAsia="Times New Roman" w:hAnsi="Times New Roman"/>
                <w:sz w:val="12"/>
                <w:szCs w:val="12"/>
                <w:color w:val="auto"/>
              </w:rPr>
              <w:t>(877)</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6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2"/>
                <w:szCs w:val="12"/>
                <w:color w:val="auto"/>
              </w:rPr>
              <w:t>(222)</w:t>
            </w:r>
          </w:p>
        </w:tc>
        <w:tc>
          <w:tcPr>
            <w:tcW w:w="16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2"/>
                <w:szCs w:val="12"/>
                <w:color w:val="auto"/>
              </w:rPr>
              <w:t>(263)</w:t>
            </w:r>
          </w:p>
        </w:tc>
      </w:tr>
      <w:tr>
        <w:trPr>
          <w:trHeight w:val="130"/>
        </w:trPr>
        <w:tc>
          <w:tcPr>
            <w:tcW w:w="524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Recoveries: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0"/>
        </w:trPr>
        <w:tc>
          <w:tcPr>
            <w:tcW w:w="524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2"/>
                <w:szCs w:val="12"/>
                <w:color w:val="auto"/>
              </w:rPr>
              <w:t>Mortgage loans:</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524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color w:val="auto"/>
              </w:rPr>
              <w:t>1-4 family residential</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2"/>
                <w:szCs w:val="12"/>
                <w:color w:val="auto"/>
              </w:rPr>
              <w:t>—</w:t>
            </w:r>
          </w:p>
        </w:tc>
      </w:tr>
      <w:tr>
        <w:trPr>
          <w:trHeight w:val="130"/>
        </w:trPr>
        <w:tc>
          <w:tcPr>
            <w:tcW w:w="5240" w:type="dxa"/>
            <w:vAlign w:val="bottom"/>
            <w:shd w:val="clear" w:color="auto" w:fill="CFF0FC"/>
          </w:tcPr>
          <w:p>
            <w:pPr>
              <w:ind w:left="40"/>
              <w:spacing w:after="0" w:line="130" w:lineRule="exact"/>
              <w:rPr>
                <w:sz w:val="20"/>
                <w:szCs w:val="20"/>
                <w:color w:val="auto"/>
              </w:rPr>
            </w:pPr>
            <w:r>
              <w:rPr>
                <w:rFonts w:ascii="Times New Roman" w:cs="Times New Roman" w:eastAsia="Times New Roman" w:hAnsi="Times New Roman"/>
                <w:sz w:val="12"/>
                <w:szCs w:val="12"/>
                <w:color w:val="auto"/>
              </w:rPr>
              <w:t>Non-mortgage loans:</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0"/>
        </w:trPr>
        <w:tc>
          <w:tcPr>
            <w:tcW w:w="5240" w:type="dxa"/>
            <w:vAlign w:val="bottom"/>
          </w:tcPr>
          <w:p>
            <w:pPr>
              <w:ind w:left="100"/>
              <w:spacing w:after="0" w:line="130" w:lineRule="exact"/>
              <w:rPr>
                <w:sz w:val="20"/>
                <w:szCs w:val="20"/>
                <w:color w:val="auto"/>
              </w:rPr>
            </w:pPr>
            <w:r>
              <w:rPr>
                <w:rFonts w:ascii="Times New Roman" w:cs="Times New Roman" w:eastAsia="Times New Roman" w:hAnsi="Times New Roman"/>
                <w:sz w:val="12"/>
                <w:szCs w:val="12"/>
                <w:color w:val="auto"/>
              </w:rPr>
              <w:t>Business</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140"/>
              <w:spacing w:after="0" w:line="130"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220"/>
              <w:spacing w:after="0" w:line="130"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880" w:type="dxa"/>
            <w:vAlign w:val="bottom"/>
          </w:tcPr>
          <w:p>
            <w:pPr>
              <w:jc w:val="right"/>
              <w:spacing w:after="0" w:line="130"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1"/>
                <w:szCs w:val="11"/>
                <w:color w:val="auto"/>
              </w:rPr>
            </w:pPr>
          </w:p>
        </w:tc>
      </w:tr>
      <w:tr>
        <w:trPr>
          <w:trHeight w:val="130"/>
        </w:trPr>
        <w:tc>
          <w:tcPr>
            <w:tcW w:w="5240" w:type="dxa"/>
            <w:vAlign w:val="bottom"/>
            <w:tcBorders>
              <w:bottom w:val="single" w:sz="8" w:color="CFF0FC"/>
            </w:tcBorders>
            <w:shd w:val="clear" w:color="auto" w:fill="CFF0FC"/>
          </w:tcPr>
          <w:p>
            <w:pPr>
              <w:ind w:left="100"/>
              <w:spacing w:after="0" w:line="130" w:lineRule="exact"/>
              <w:rPr>
                <w:sz w:val="20"/>
                <w:szCs w:val="20"/>
                <w:color w:val="auto"/>
              </w:rPr>
            </w:pPr>
            <w:r>
              <w:rPr>
                <w:rFonts w:ascii="Times New Roman" w:cs="Times New Roman" w:eastAsia="Times New Roman" w:hAnsi="Times New Roman"/>
                <w:sz w:val="12"/>
                <w:szCs w:val="12"/>
                <w:color w:val="auto"/>
              </w:rPr>
              <w:t>Consumer</w:t>
            </w:r>
          </w:p>
        </w:tc>
        <w:tc>
          <w:tcPr>
            <w:tcW w:w="14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4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8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2"/>
        </w:trPr>
        <w:tc>
          <w:tcPr>
            <w:tcW w:w="5240" w:type="dxa"/>
            <w:vAlign w:val="bottom"/>
          </w:tcPr>
          <w:p>
            <w:pPr>
              <w:ind w:left="180"/>
              <w:spacing w:after="0" w:line="122" w:lineRule="exact"/>
              <w:rPr>
                <w:sz w:val="20"/>
                <w:szCs w:val="20"/>
                <w:color w:val="auto"/>
              </w:rPr>
            </w:pPr>
            <w:r>
              <w:rPr>
                <w:rFonts w:ascii="Times New Roman" w:cs="Times New Roman" w:eastAsia="Times New Roman" w:hAnsi="Times New Roman"/>
                <w:sz w:val="12"/>
                <w:szCs w:val="12"/>
                <w:color w:val="auto"/>
              </w:rPr>
              <w:t>Total recoveries</w:t>
            </w:r>
          </w:p>
        </w:tc>
        <w:tc>
          <w:tcPr>
            <w:tcW w:w="140" w:type="dxa"/>
            <w:vAlign w:val="bottom"/>
          </w:tcPr>
          <w:p>
            <w:pPr>
              <w:spacing w:after="0"/>
              <w:rPr>
                <w:sz w:val="10"/>
                <w:szCs w:val="10"/>
                <w:color w:val="auto"/>
              </w:rPr>
            </w:pPr>
          </w:p>
        </w:tc>
        <w:tc>
          <w:tcPr>
            <w:tcW w:w="9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0"/>
                <w:szCs w:val="10"/>
                <w:color w:val="auto"/>
              </w:rPr>
            </w:pPr>
          </w:p>
        </w:tc>
      </w:tr>
      <w:tr>
        <w:trPr>
          <w:trHeight w:val="130"/>
        </w:trPr>
        <w:tc>
          <w:tcPr>
            <w:tcW w:w="524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2"/>
                <w:szCs w:val="12"/>
                <w:color w:val="auto"/>
              </w:rPr>
              <w:t>Net (charge-offs) recoveries</w:t>
            </w:r>
          </w:p>
        </w:tc>
        <w:tc>
          <w:tcPr>
            <w:tcW w:w="140" w:type="dxa"/>
            <w:vAlign w:val="bottom"/>
            <w:shd w:val="clear" w:color="auto" w:fill="CFF0FC"/>
          </w:tcPr>
          <w:p>
            <w:pPr>
              <w:spacing w:after="0"/>
              <w:rPr>
                <w:sz w:val="11"/>
                <w:szCs w:val="11"/>
                <w:color w:val="auto"/>
              </w:rPr>
            </w:pPr>
          </w:p>
        </w:tc>
        <w:tc>
          <w:tcPr>
            <w:tcW w:w="98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(504)</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
              <w:spacing w:after="0" w:line="130" w:lineRule="exact"/>
              <w:rPr>
                <w:sz w:val="20"/>
                <w:szCs w:val="20"/>
                <w:color w:val="auto"/>
              </w:rPr>
            </w:pPr>
            <w:r>
              <w:rPr>
                <w:rFonts w:ascii="Times New Roman" w:cs="Times New Roman" w:eastAsia="Times New Roman" w:hAnsi="Times New Roman"/>
                <w:sz w:val="12"/>
                <w:szCs w:val="12"/>
                <w:color w:val="auto"/>
              </w:rPr>
              <w:t>(841)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80"/>
              <w:spacing w:after="0" w:line="130" w:lineRule="exact"/>
              <w:rPr>
                <w:sz w:val="20"/>
                <w:szCs w:val="20"/>
                <w:color w:val="auto"/>
              </w:rPr>
            </w:pPr>
            <w:r>
              <w:rPr>
                <w:rFonts w:ascii="Times New Roman" w:cs="Times New Roman" w:eastAsia="Times New Roman" w:hAnsi="Times New Roman"/>
                <w:sz w:val="12"/>
                <w:szCs w:val="12"/>
                <w:color w:val="auto"/>
              </w:rPr>
              <w:t>(222)</w:t>
            </w: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0" w:lineRule="exact"/>
              <w:rPr>
                <w:sz w:val="20"/>
                <w:szCs w:val="20"/>
                <w:color w:val="auto"/>
              </w:rPr>
            </w:pPr>
            <w:r>
              <w:rPr>
                <w:rFonts w:ascii="Times New Roman" w:cs="Times New Roman" w:eastAsia="Times New Roman" w:hAnsi="Times New Roman"/>
                <w:sz w:val="12"/>
                <w:szCs w:val="12"/>
                <w:color w:val="auto"/>
              </w:rPr>
              <w:t>(259)</w:t>
            </w:r>
          </w:p>
        </w:tc>
      </w:tr>
      <w:tr>
        <w:trPr>
          <w:trHeight w:val="122"/>
        </w:trPr>
        <w:tc>
          <w:tcPr>
            <w:tcW w:w="52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Allowance for credit losses on loans at end of the period</w:t>
            </w:r>
          </w:p>
        </w:tc>
        <w:tc>
          <w:tcPr>
            <w:tcW w:w="140" w:type="dxa"/>
            <w:vAlign w:val="bottom"/>
            <w:tcBorders>
              <w:top w:val="single" w:sz="8" w:color="auto"/>
              <w:bottom w:val="single" w:sz="8" w:color="auto"/>
            </w:tcBorders>
          </w:tcPr>
          <w:p>
            <w:pPr>
              <w:jc w:val="right"/>
              <w:ind w:right="27"/>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26,238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25,449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w:t>
            </w:r>
          </w:p>
        </w:tc>
        <w:tc>
          <w:tcPr>
            <w:tcW w:w="92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24,764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7"/>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24,100</w:t>
            </w:r>
          </w:p>
        </w:tc>
        <w:tc>
          <w:tcPr>
            <w:tcW w:w="22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47"/>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22,974</w:t>
            </w:r>
          </w:p>
        </w:tc>
        <w:tc>
          <w:tcPr>
            <w:tcW w:w="120" w:type="dxa"/>
            <w:vAlign w:val="bottom"/>
          </w:tcPr>
          <w:p>
            <w:pPr>
              <w:spacing w:after="0"/>
              <w:rPr>
                <w:sz w:val="10"/>
                <w:szCs w:val="10"/>
                <w:color w:val="auto"/>
              </w:rPr>
            </w:pPr>
          </w:p>
        </w:tc>
      </w:tr>
      <w:tr>
        <w:trPr>
          <w:trHeight w:val="20"/>
        </w:trPr>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-284480</wp:posOffset>
            </wp:positionV>
            <wp:extent cx="6731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-284480</wp:posOffset>
            </wp:positionV>
            <wp:extent cx="6731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5501005</wp:posOffset>
            </wp:positionH>
            <wp:positionV relativeFrom="paragraph">
              <wp:posOffset>-284480</wp:posOffset>
            </wp:positionV>
            <wp:extent cx="6731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6275070</wp:posOffset>
            </wp:positionH>
            <wp:positionV relativeFrom="paragraph">
              <wp:posOffset>-284480</wp:posOffset>
            </wp:positionV>
            <wp:extent cx="6731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-284480</wp:posOffset>
            </wp:positionV>
            <wp:extent cx="6731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Deposits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5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3"/>
                <w:szCs w:val="13"/>
                <w:color w:val="auto"/>
              </w:rPr>
            </w:pPr>
          </w:p>
        </w:tc>
        <w:tc>
          <w:tcPr>
            <w:tcW w:w="156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4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5"/>
                <w:szCs w:val="15"/>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Demand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241,012</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11.29%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208,250</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192,595</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197,671</w:t>
            </w: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212,139</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NOW/IOLA accounts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78,192</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84,012</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75,051</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3.64%</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63,626</w:t>
            </w: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74,430</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Money market accounts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811,982</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779,532</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38.09%</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821,844</w:t>
            </w: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39.84%</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790,939</w:t>
            </w:r>
          </w:p>
        </w:tc>
        <w:tc>
          <w:tcPr>
            <w:tcW w:w="2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38.52%</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692,753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Reciprocal deposits</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162,926</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7.64%</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152,630</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154,548</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136,693</w:t>
            </w: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141,838</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tcPr>
          <w:p>
            <w:pPr>
              <w:ind w:left="40"/>
              <w:spacing w:after="0" w:line="177" w:lineRule="exact"/>
              <w:rPr>
                <w:sz w:val="20"/>
                <w:szCs w:val="20"/>
                <w:color w:val="auto"/>
              </w:rPr>
            </w:pPr>
            <w:r>
              <w:rPr>
                <w:rFonts w:ascii="Times New Roman" w:cs="Times New Roman" w:eastAsia="Times New Roman" w:hAnsi="Times New Roman"/>
                <w:sz w:val="14"/>
                <w:szCs w:val="14"/>
                <w:color w:val="auto"/>
              </w:rPr>
              <w:t xml:space="preserve">Savings accounts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118,373</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117,708</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5.75%</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117,401</w:t>
            </w: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5.69%</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113,701</w:t>
            </w:r>
          </w:p>
        </w:tc>
        <w:tc>
          <w:tcPr>
            <w:tcW w:w="2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119,023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000" w:type="dxa"/>
            <w:vAlign w:val="bottom"/>
            <w:vMerge w:val="restart"/>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Total NOW, money market, reciprocal and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Borders>
              <w:right w:val="single" w:sz="8" w:color="CFF0FC"/>
            </w:tcBorders>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FF0FC"/>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FF0FC"/>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0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1,171,473</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tcBorders>
              <w:right w:val="single" w:sz="8" w:color="CFF0FC"/>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54.90%</w:t>
            </w: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1,133,882</w:t>
            </w:r>
          </w:p>
        </w:tc>
        <w:tc>
          <w:tcPr>
            <w:tcW w:w="200" w:type="dxa"/>
            <w:vAlign w:val="bottom"/>
            <w:tcBorders>
              <w:right w:val="single" w:sz="8" w:color="CFF0FC"/>
            </w:tcBorders>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55.40%</w:t>
            </w:r>
          </w:p>
        </w:tc>
        <w:tc>
          <w:tcPr>
            <w:tcW w:w="10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1,168,844</w:t>
            </w:r>
          </w:p>
        </w:tc>
        <w:tc>
          <w:tcPr>
            <w:tcW w:w="80" w:type="dxa"/>
            <w:vAlign w:val="bottom"/>
            <w:shd w:val="clear" w:color="auto" w:fill="CFF0FC"/>
          </w:tcPr>
          <w:p>
            <w:pPr>
              <w:spacing w:after="0"/>
              <w:rPr>
                <w:sz w:val="13"/>
                <w:szCs w:val="13"/>
                <w:color w:val="auto"/>
              </w:rPr>
            </w:pPr>
          </w:p>
        </w:tc>
        <w:tc>
          <w:tcPr>
            <w:tcW w:w="720" w:type="dxa"/>
            <w:vAlign w:val="bottom"/>
            <w:tcBorders>
              <w:right w:val="single" w:sz="8" w:color="CFF0FC"/>
            </w:tcBorders>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56.66%</w:t>
            </w:r>
          </w:p>
        </w:tc>
        <w:tc>
          <w:tcPr>
            <w:tcW w:w="100" w:type="dxa"/>
            <w:vAlign w:val="bottom"/>
            <w:shd w:val="clear" w:color="auto" w:fill="CFF0FC"/>
          </w:tcPr>
          <w:p>
            <w:pPr>
              <w:spacing w:after="0"/>
              <w:rPr>
                <w:sz w:val="13"/>
                <w:szCs w:val="13"/>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1,104,959</w:t>
            </w:r>
          </w:p>
        </w:tc>
        <w:tc>
          <w:tcPr>
            <w:tcW w:w="200" w:type="dxa"/>
            <w:vAlign w:val="bottom"/>
            <w:tcBorders>
              <w:right w:val="single" w:sz="8" w:color="CFF0FC"/>
            </w:tcBorders>
            <w:shd w:val="clear" w:color="auto" w:fill="CFF0FC"/>
          </w:tcPr>
          <w:p>
            <w:pPr>
              <w:spacing w:after="0"/>
              <w:rPr>
                <w:sz w:val="13"/>
                <w:szCs w:val="13"/>
                <w:color w:val="auto"/>
              </w:rPr>
            </w:pPr>
          </w:p>
        </w:tc>
        <w:tc>
          <w:tcPr>
            <w:tcW w:w="7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53.81%</w:t>
            </w:r>
          </w:p>
        </w:tc>
        <w:tc>
          <w:tcPr>
            <w:tcW w:w="100" w:type="dxa"/>
            <w:vAlign w:val="bottom"/>
            <w:shd w:val="clear" w:color="auto" w:fill="CFF0FC"/>
          </w:tcPr>
          <w:p>
            <w:pPr>
              <w:spacing w:after="0"/>
              <w:rPr>
                <w:sz w:val="13"/>
                <w:szCs w:val="13"/>
                <w:color w:val="auto"/>
              </w:rPr>
            </w:pPr>
          </w:p>
        </w:tc>
        <w:tc>
          <w:tcPr>
            <w:tcW w:w="82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1,028,044</w:t>
            </w:r>
          </w:p>
        </w:tc>
        <w:tc>
          <w:tcPr>
            <w:tcW w:w="7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b w:val="1"/>
                <w:bCs w:val="1"/>
                <w:color w:val="auto"/>
              </w:rPr>
              <w:t>savings accounts</w:t>
            </w: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vMerge w:val="continue"/>
            <w:shd w:val="clear" w:color="auto" w:fill="CFF0FC"/>
          </w:tcPr>
          <w:p>
            <w:pPr>
              <w:spacing w:after="0"/>
              <w:rPr>
                <w:sz w:val="15"/>
                <w:szCs w:val="15"/>
                <w:color w:val="auto"/>
              </w:rPr>
            </w:pPr>
          </w:p>
        </w:tc>
        <w:tc>
          <w:tcPr>
            <w:tcW w:w="720" w:type="dxa"/>
            <w:vAlign w:val="bottom"/>
            <w:gridSpan w:val="2"/>
            <w:vMerge w:val="continue"/>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Certificates of deposit of $250K or more</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258,093</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202,500</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9.89%</w:t>
            </w: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209,819</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220,671</w:t>
            </w:r>
          </w:p>
        </w:tc>
        <w:tc>
          <w:tcPr>
            <w:tcW w:w="2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219,721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shd w:val="clear" w:color="auto" w:fill="CFF0FC"/>
          </w:tcPr>
          <w:p>
            <w:pPr>
              <w:ind w:left="40"/>
              <w:spacing w:after="0" w:line="177" w:lineRule="exact"/>
              <w:rPr>
                <w:sz w:val="20"/>
                <w:szCs w:val="20"/>
                <w:color w:val="auto"/>
              </w:rPr>
            </w:pPr>
            <w:r>
              <w:rPr>
                <w:rFonts w:ascii="Times New Roman" w:cs="Times New Roman" w:eastAsia="Times New Roman" w:hAnsi="Times New Roman"/>
                <w:sz w:val="14"/>
                <w:szCs w:val="14"/>
                <w:color w:val="auto"/>
              </w:rPr>
              <w:t xml:space="preserve">Brokered certificates of deposit </w:t>
            </w:r>
            <w:r>
              <w:rPr>
                <w:rFonts w:ascii="Times New Roman" w:cs="Times New Roman" w:eastAsia="Times New Roman" w:hAnsi="Times New Roman"/>
                <w:sz w:val="19"/>
                <w:szCs w:val="19"/>
                <w:color w:val="auto"/>
                <w:vertAlign w:val="superscript"/>
              </w:rPr>
              <w:t>(2)</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54,553</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67,942</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67,952</w:t>
            </w: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69,531</w:t>
            </w: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84,531</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tcPr>
          <w:p>
            <w:pPr>
              <w:ind w:left="40"/>
              <w:spacing w:after="0" w:line="177" w:lineRule="exact"/>
              <w:rPr>
                <w:sz w:val="20"/>
                <w:szCs w:val="20"/>
                <w:color w:val="auto"/>
              </w:rPr>
            </w:pPr>
            <w:r>
              <w:rPr>
                <w:rFonts w:ascii="Times New Roman" w:cs="Times New Roman" w:eastAsia="Times New Roman" w:hAnsi="Times New Roman"/>
                <w:sz w:val="14"/>
                <w:szCs w:val="14"/>
                <w:color w:val="auto"/>
              </w:rPr>
              <w:t xml:space="preserve">Listing service deposits </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0.06%</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4,150</w:t>
            </w:r>
          </w:p>
        </w:tc>
        <w:tc>
          <w:tcPr>
            <w:tcW w:w="20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4,150</w:t>
            </w:r>
          </w:p>
        </w:tc>
        <w:tc>
          <w:tcPr>
            <w:tcW w:w="8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20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6,140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All other certificates of deposit less than $250K</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407,421</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19.09%</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429,911</w:t>
            </w:r>
          </w:p>
        </w:tc>
        <w:tc>
          <w:tcPr>
            <w:tcW w:w="200" w:type="dxa"/>
            <w:vAlign w:val="bottom"/>
            <w:tcBorders>
              <w:right w:val="single" w:sz="8" w:color="CFF0FC"/>
            </w:tcBorders>
            <w:shd w:val="clear" w:color="auto" w:fill="CFF0FC"/>
          </w:tcPr>
          <w:p>
            <w:pPr>
              <w:spacing w:after="0"/>
              <w:rPr>
                <w:sz w:val="15"/>
                <w:szCs w:val="15"/>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419,721</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454,179</w:t>
            </w:r>
          </w:p>
        </w:tc>
        <w:tc>
          <w:tcPr>
            <w:tcW w:w="200" w:type="dxa"/>
            <w:vAlign w:val="bottom"/>
            <w:tcBorders>
              <w:right w:val="single" w:sz="8" w:color="CFF0FC"/>
            </w:tcBorders>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22.12%</w:t>
            </w:r>
          </w:p>
        </w:tc>
        <w:tc>
          <w:tcPr>
            <w:tcW w:w="10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467,273</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tcBorders>
              <w:bottom w:val="single" w:sz="8" w:color="auto"/>
            </w:tcBorders>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tcBorders>
              <w:bottom w:val="single" w:sz="8" w:color="auto"/>
            </w:tcBorders>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Borders>
              <w:bottom w:val="single" w:sz="8" w:color="auto"/>
            </w:tcBorders>
            <w:shd w:val="clear" w:color="auto" w:fill="CFF0FC"/>
          </w:tcPr>
          <w:p>
            <w:pPr>
              <w:spacing w:after="0" w:line="20" w:lineRule="exact"/>
              <w:rPr>
                <w:sz w:val="1"/>
                <w:szCs w:val="1"/>
                <w:color w:val="auto"/>
              </w:rPr>
            </w:pPr>
          </w:p>
        </w:tc>
        <w:tc>
          <w:tcPr>
            <w:tcW w:w="580" w:type="dxa"/>
            <w:vAlign w:val="bottom"/>
            <w:tcBorders>
              <w:bottom w:val="single" w:sz="8" w:color="auto"/>
            </w:tcBorders>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80" w:type="dxa"/>
            <w:vAlign w:val="bottom"/>
            <w:tcBorders>
              <w:bottom w:val="single" w:sz="8" w:color="auto"/>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tcBorders>
              <w:bottom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certificates of deposit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721,310</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33.81%</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704,503</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34.42%</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701,642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34.00%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750,521</w:t>
            </w:r>
          </w:p>
        </w:tc>
        <w:tc>
          <w:tcPr>
            <w:tcW w:w="2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36.56%</w:t>
            </w: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777,665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1,892,783</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88.71%</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1,838,385</w:t>
            </w:r>
          </w:p>
        </w:tc>
        <w:tc>
          <w:tcPr>
            <w:tcW w:w="200" w:type="dxa"/>
            <w:vAlign w:val="bottom"/>
            <w:tcBorders>
              <w:right w:val="single" w:sz="8" w:color="CFF0FC"/>
            </w:tcBorders>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89.82%</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1,870,486</w:t>
            </w: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90.66%</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1,855,480</w:t>
            </w:r>
          </w:p>
        </w:tc>
        <w:tc>
          <w:tcPr>
            <w:tcW w:w="200" w:type="dxa"/>
            <w:vAlign w:val="bottom"/>
            <w:tcBorders>
              <w:right w:val="single" w:sz="8" w:color="CFF0FC"/>
            </w:tcBorders>
            <w:shd w:val="clear" w:color="auto" w:fill="CFF0FC"/>
          </w:tcPr>
          <w:p>
            <w:pPr>
              <w:spacing w:after="0"/>
              <w:rPr>
                <w:sz w:val="14"/>
                <w:szCs w:val="14"/>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90.37%</w:t>
            </w:r>
          </w:p>
        </w:tc>
        <w:tc>
          <w:tcPr>
            <w:tcW w:w="100" w:type="dxa"/>
            <w:vAlign w:val="bottom"/>
            <w:shd w:val="clear" w:color="auto" w:fill="CFF0FC"/>
          </w:tcPr>
          <w:p>
            <w:pPr>
              <w:spacing w:after="0"/>
              <w:rPr>
                <w:sz w:val="14"/>
                <w:szCs w:val="14"/>
                <w:color w:val="auto"/>
              </w:rPr>
            </w:pPr>
          </w:p>
        </w:tc>
        <w:tc>
          <w:tcPr>
            <w:tcW w:w="8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1,805,709</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3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2,133,795</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2,046,635</w:t>
            </w:r>
          </w:p>
        </w:tc>
        <w:tc>
          <w:tcPr>
            <w:tcW w:w="2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2,063,081</w:t>
            </w:r>
          </w:p>
        </w:tc>
        <w:tc>
          <w:tcPr>
            <w:tcW w:w="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2,053,151</w:t>
            </w:r>
          </w:p>
        </w:tc>
        <w:tc>
          <w:tcPr>
            <w:tcW w:w="2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2,017,848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2369820</wp:posOffset>
            </wp:positionH>
            <wp:positionV relativeFrom="paragraph">
              <wp:posOffset>-1644015</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-1644015</wp:posOffset>
            </wp:positionV>
            <wp:extent cx="7493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-1644015</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-1644015</wp:posOffset>
            </wp:positionV>
            <wp:extent cx="7493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-1644015</wp:posOffset>
            </wp:positionV>
            <wp:extent cx="6731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-1644015</wp:posOffset>
            </wp:positionV>
            <wp:extent cx="7493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-1644015</wp:posOffset>
            </wp:positionV>
            <wp:extent cx="6731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-1644015</wp:posOffset>
            </wp:positionV>
            <wp:extent cx="7493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-1644015</wp:posOffset>
            </wp:positionV>
            <wp:extent cx="6731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-1644015</wp:posOffset>
            </wp:positionV>
            <wp:extent cx="7493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-847725</wp:posOffset>
            </wp:positionV>
            <wp:extent cx="6731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-1078230</wp:posOffset>
            </wp:positionV>
            <wp:extent cx="100330" cy="2508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0330" cy="250825"/>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-847725</wp:posOffset>
            </wp:positionV>
            <wp:extent cx="6731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-1078230</wp:posOffset>
            </wp:positionV>
            <wp:extent cx="100330" cy="2508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0330" cy="25082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-847725</wp:posOffset>
            </wp:positionV>
            <wp:extent cx="6731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-1078230</wp:posOffset>
            </wp:positionV>
            <wp:extent cx="100330" cy="2508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0330" cy="25082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-847725</wp:posOffset>
            </wp:positionV>
            <wp:extent cx="6731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5999480</wp:posOffset>
            </wp:positionH>
            <wp:positionV relativeFrom="paragraph">
              <wp:posOffset>-1078230</wp:posOffset>
            </wp:positionV>
            <wp:extent cx="100330" cy="2508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0330" cy="250825"/>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-847725</wp:posOffset>
            </wp:positionV>
            <wp:extent cx="673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7058025</wp:posOffset>
            </wp:positionH>
            <wp:positionV relativeFrom="paragraph">
              <wp:posOffset>-1078230</wp:posOffset>
            </wp:positionV>
            <wp:extent cx="100330" cy="2508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0330" cy="25082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-389890</wp:posOffset>
            </wp:positionV>
            <wp:extent cx="6731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-389890</wp:posOffset>
            </wp:positionV>
            <wp:extent cx="6731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-389890</wp:posOffset>
            </wp:positionV>
            <wp:extent cx="6731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-389890</wp:posOffset>
            </wp:positionV>
            <wp:extent cx="6731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-389890</wp:posOffset>
            </wp:positionV>
            <wp:extent cx="6731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-142240</wp:posOffset>
            </wp:positionV>
            <wp:extent cx="6731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-142240</wp:posOffset>
            </wp:positionV>
            <wp:extent cx="7493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3413760</wp:posOffset>
            </wp:positionH>
            <wp:positionV relativeFrom="paragraph">
              <wp:posOffset>-142240</wp:posOffset>
            </wp:positionV>
            <wp:extent cx="6731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3909060</wp:posOffset>
            </wp:positionH>
            <wp:positionV relativeFrom="paragraph">
              <wp:posOffset>-142240</wp:posOffset>
            </wp:positionV>
            <wp:extent cx="749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-142240</wp:posOffset>
            </wp:positionV>
            <wp:extent cx="6731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-142240</wp:posOffset>
            </wp:positionV>
            <wp:extent cx="7493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-142240</wp:posOffset>
            </wp:positionV>
            <wp:extent cx="6731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6012180</wp:posOffset>
            </wp:positionH>
            <wp:positionV relativeFrom="paragraph">
              <wp:posOffset>-142240</wp:posOffset>
            </wp:positionV>
            <wp:extent cx="749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6567805</wp:posOffset>
            </wp:positionH>
            <wp:positionV relativeFrom="paragraph">
              <wp:posOffset>-142240</wp:posOffset>
            </wp:positionV>
            <wp:extent cx="6731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7070725</wp:posOffset>
            </wp:positionH>
            <wp:positionV relativeFrom="paragraph">
              <wp:posOffset>-142240</wp:posOffset>
            </wp:positionV>
            <wp:extent cx="749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spacing w:after="0" w:line="393" w:lineRule="exact"/>
        <w:rPr>
          <w:sz w:val="20"/>
          <w:szCs w:val="20"/>
          <w:color w:val="auto"/>
        </w:rPr>
      </w:pPr>
    </w:p>
    <w:p>
      <w:pPr>
        <w:ind w:left="740" w:right="20" w:hanging="370"/>
        <w:spacing w:after="0" w:line="299" w:lineRule="auto"/>
        <w:tabs>
          <w:tab w:leader="none" w:pos="7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As of June 30, 2025 and March 31, 2025, Advance payments by borrowers for taxes and insurance in the amounts of $10.9 million and $12.9 million, respectively, were reclassified to Deposits.</w:t>
      </w:r>
    </w:p>
    <w:p>
      <w:pPr>
        <w:spacing w:after="0" w:line="83"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There were no individual listing service deposits or brokered certificates of deposit amounting to $250,000 or more.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414655</wp:posOffset>
            </wp:positionV>
            <wp:extent cx="717486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91"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Nonperforming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40" w:type="dxa"/>
            <w:vAlign w:val="bottom"/>
          </w:tcPr>
          <w:p>
            <w:pPr>
              <w:spacing w:after="0"/>
              <w:rPr>
                <w:sz w:val="9"/>
                <w:szCs w:val="9"/>
                <w:color w:val="auto"/>
              </w:rPr>
            </w:pPr>
          </w:p>
        </w:tc>
        <w:tc>
          <w:tcPr>
            <w:tcW w:w="92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40" w:type="dxa"/>
            <w:vAlign w:val="bottom"/>
          </w:tcPr>
          <w:p>
            <w:pPr>
              <w:spacing w:after="0"/>
              <w:rPr>
                <w:sz w:val="9"/>
                <w:szCs w:val="9"/>
                <w:color w:val="auto"/>
              </w:rPr>
            </w:pPr>
          </w:p>
        </w:tc>
        <w:tc>
          <w:tcPr>
            <w:tcW w:w="960" w:type="dxa"/>
            <w:vAlign w:val="bottom"/>
            <w:gridSpan w:val="3"/>
          </w:tcPr>
          <w:p>
            <w:pPr>
              <w:jc w:val="right"/>
              <w:ind w:right="180"/>
              <w:spacing w:after="0" w:line="112"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tcPr>
          <w:p>
            <w:pPr>
              <w:jc w:val="right"/>
              <w:ind w:right="260"/>
              <w:spacing w:after="0" w:line="112" w:lineRule="exact"/>
              <w:rPr>
                <w:sz w:val="20"/>
                <w:szCs w:val="20"/>
                <w:color w:val="auto"/>
              </w:rPr>
            </w:pPr>
            <w:r>
              <w:rPr>
                <w:rFonts w:ascii="Times New Roman" w:cs="Times New Roman" w:eastAsia="Times New Roman" w:hAnsi="Times New Roman"/>
                <w:sz w:val="12"/>
                <w:szCs w:val="12"/>
                <w:b w:val="1"/>
                <w:bCs w:val="1"/>
                <w:color w:val="auto"/>
              </w:rPr>
              <w:t>June 30,</w:t>
            </w:r>
          </w:p>
        </w:tc>
        <w:tc>
          <w:tcPr>
            <w:tcW w:w="20" w:type="dxa"/>
            <w:vAlign w:val="bottom"/>
          </w:tcPr>
          <w:p>
            <w:pPr>
              <w:spacing w:after="0"/>
              <w:rPr>
                <w:sz w:val="9"/>
                <w:szCs w:val="9"/>
                <w:color w:val="auto"/>
              </w:rPr>
            </w:pPr>
          </w:p>
        </w:tc>
        <w:tc>
          <w:tcPr>
            <w:tcW w:w="640" w:type="dxa"/>
            <w:vAlign w:val="bottom"/>
            <w:gridSpan w:val="2"/>
          </w:tcPr>
          <w:p>
            <w:pPr>
              <w:jc w:val="right"/>
              <w:spacing w:after="0" w:line="112"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6"/>
          </w:tcPr>
          <w:p>
            <w:pPr>
              <w:jc w:val="right"/>
              <w:ind w:right="80"/>
              <w:spacing w:after="0" w:line="134"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Non-accrual 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Mortgage loans: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1-4 family residential</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3,158</w:t>
            </w:r>
          </w:p>
        </w:tc>
        <w:tc>
          <w:tcPr>
            <w:tcW w:w="14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ind w:right="44"/>
              <w:spacing w:after="0" w:line="142"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4,427</w:t>
            </w:r>
          </w:p>
        </w:tc>
        <w:tc>
          <w:tcPr>
            <w:tcW w:w="140" w:type="dxa"/>
            <w:vAlign w:val="bottom"/>
            <w:shd w:val="clear" w:color="auto" w:fill="CFF0FC"/>
          </w:tcPr>
          <w:p>
            <w:pPr>
              <w:spacing w:after="0"/>
              <w:rPr>
                <w:sz w:val="12"/>
                <w:szCs w:val="12"/>
                <w:color w:val="auto"/>
              </w:rPr>
            </w:pPr>
          </w:p>
        </w:tc>
        <w:tc>
          <w:tcPr>
            <w:tcW w:w="1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3,176</w:t>
            </w:r>
          </w:p>
        </w:tc>
        <w:tc>
          <w:tcPr>
            <w:tcW w:w="140" w:type="dxa"/>
            <w:vAlign w:val="bottom"/>
            <w:shd w:val="clear" w:color="auto" w:fill="CFF0FC"/>
          </w:tcPr>
          <w:p>
            <w:pPr>
              <w:spacing w:after="0"/>
              <w:rPr>
                <w:sz w:val="12"/>
                <w:szCs w:val="12"/>
                <w:color w:val="auto"/>
              </w:rPr>
            </w:pPr>
          </w:p>
        </w:tc>
        <w:tc>
          <w:tcPr>
            <w:tcW w:w="1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1,859</w:t>
            </w:r>
          </w:p>
        </w:tc>
        <w:tc>
          <w:tcPr>
            <w:tcW w:w="160" w:type="dxa"/>
            <w:vAlign w:val="bottom"/>
            <w:shd w:val="clear" w:color="auto" w:fill="CFF0FC"/>
          </w:tcPr>
          <w:p>
            <w:pPr>
              <w:spacing w:after="0"/>
              <w:rPr>
                <w:sz w:val="12"/>
                <w:szCs w:val="12"/>
                <w:color w:val="auto"/>
              </w:rPr>
            </w:pPr>
          </w:p>
        </w:tc>
        <w:tc>
          <w:tcPr>
            <w:tcW w:w="1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2,475</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Multifamily residential</w:t>
            </w: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9,228</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13,112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14,202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11,703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9,788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Nonresidential properties</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405</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Construction and land</w:t>
            </w: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7,061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8,247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8,907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8,907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14,159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Non-mortgage 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Business</w:t>
            </w: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427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667</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880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Consumer</w:t>
            </w:r>
          </w:p>
        </w:tc>
        <w:tc>
          <w:tcPr>
            <w:tcW w:w="8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40" w:type="dxa"/>
            <w:vAlign w:val="bottom"/>
            <w:tcBorders>
              <w:top w:val="single" w:sz="8" w:color="CFF0FC"/>
              <w:bottom w:val="single" w:sz="8" w:color="CFF0FC"/>
            </w:tcBorders>
          </w:tcPr>
          <w:p>
            <w:pPr>
              <w:ind w:left="220"/>
              <w:spacing w:after="0" w:line="134" w:lineRule="exact"/>
              <w:rPr>
                <w:sz w:val="20"/>
                <w:szCs w:val="20"/>
                <w:color w:val="auto"/>
              </w:rPr>
            </w:pPr>
            <w:r>
              <w:rPr>
                <w:rFonts w:ascii="Times New Roman" w:cs="Times New Roman" w:eastAsia="Times New Roman" w:hAnsi="Times New Roman"/>
                <w:sz w:val="12"/>
                <w:szCs w:val="12"/>
                <w:color w:val="auto"/>
              </w:rPr>
              <w:t xml:space="preserve">Total non-accrual loans (not including non-accruing modifications to borrowers experiencing financial difficulty) </w:t>
            </w:r>
            <w:r>
              <w:rPr>
                <w:rFonts w:ascii="Times New Roman" w:cs="Times New Roman" w:eastAsia="Times New Roman" w:hAnsi="Times New Roman"/>
                <w:sz w:val="15"/>
                <w:szCs w:val="15"/>
                <w:color w:val="auto"/>
                <w:vertAlign w:val="superscript"/>
              </w:rPr>
              <w:t>(1)</w:t>
            </w: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19,874</w:t>
            </w: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bottom w:val="single" w:sz="8" w:color="CFF0FC"/>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44"/>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26,453</w:t>
            </w:r>
          </w:p>
        </w:tc>
        <w:tc>
          <w:tcPr>
            <w:tcW w:w="140" w:type="dxa"/>
            <w:vAlign w:val="bottom"/>
            <w:tcBorders>
              <w:top w:val="single" w:sz="8" w:color="CFF0FC"/>
            </w:tcBorders>
          </w:tcPr>
          <w:p>
            <w:pPr>
              <w:spacing w:after="0"/>
              <w:rPr>
                <w:sz w:val="11"/>
                <w:szCs w:val="11"/>
                <w:color w:val="auto"/>
              </w:rPr>
            </w:pPr>
          </w:p>
        </w:tc>
        <w:tc>
          <w:tcPr>
            <w:tcW w:w="4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27,165</w:t>
            </w:r>
          </w:p>
        </w:tc>
        <w:tc>
          <w:tcPr>
            <w:tcW w:w="140" w:type="dxa"/>
            <w:vAlign w:val="bottom"/>
            <w:tcBorders>
              <w:top w:val="single" w:sz="8" w:color="CFF0FC"/>
            </w:tcBorders>
          </w:tcPr>
          <w:p>
            <w:pPr>
              <w:spacing w:after="0"/>
              <w:rPr>
                <w:sz w:val="11"/>
                <w:szCs w:val="11"/>
                <w:color w:val="auto"/>
              </w:rPr>
            </w:pPr>
          </w:p>
        </w:tc>
        <w:tc>
          <w:tcPr>
            <w:tcW w:w="2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23,150</w:t>
            </w:r>
          </w:p>
        </w:tc>
        <w:tc>
          <w:tcPr>
            <w:tcW w:w="160" w:type="dxa"/>
            <w:vAlign w:val="bottom"/>
            <w:tcBorders>
              <w:top w:val="single" w:sz="8" w:color="CFF0FC"/>
            </w:tcBorders>
          </w:tcPr>
          <w:p>
            <w:pPr>
              <w:spacing w:after="0"/>
              <w:rPr>
                <w:sz w:val="11"/>
                <w:szCs w:val="11"/>
                <w:color w:val="auto"/>
              </w:rPr>
            </w:pPr>
          </w:p>
        </w:tc>
        <w:tc>
          <w:tcPr>
            <w:tcW w:w="2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26,592</w:t>
            </w:r>
          </w:p>
        </w:tc>
        <w:tc>
          <w:tcPr>
            <w:tcW w:w="14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6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74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Non-accruing modifications to borrowers experiencing financial difficulty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Mortgage 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FF0FC"/>
            </w:tcBorders>
          </w:tcPr>
          <w:p>
            <w:pPr>
              <w:ind w:left="100"/>
              <w:spacing w:after="0" w:line="142" w:lineRule="exact"/>
              <w:rPr>
                <w:sz w:val="20"/>
                <w:szCs w:val="20"/>
                <w:color w:val="auto"/>
              </w:rPr>
            </w:pPr>
            <w:r>
              <w:rPr>
                <w:rFonts w:ascii="Times New Roman" w:cs="Times New Roman" w:eastAsia="Times New Roman" w:hAnsi="Times New Roman"/>
                <w:sz w:val="13"/>
                <w:szCs w:val="13"/>
                <w:color w:val="auto"/>
              </w:rPr>
              <w:t>1-4 family residential</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410</w:t>
            </w:r>
          </w:p>
        </w:tc>
        <w:tc>
          <w:tcPr>
            <w:tcW w:w="14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698</w:t>
            </w: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708</w:t>
            </w:r>
          </w:p>
        </w:tc>
        <w:tc>
          <w:tcPr>
            <w:tcW w:w="16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710</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40" w:type="dxa"/>
            <w:vAlign w:val="bottom"/>
            <w:shd w:val="clear" w:color="auto" w:fill="CFF0FC"/>
          </w:tcPr>
          <w:p>
            <w:pPr>
              <w:ind w:left="220"/>
              <w:spacing w:after="0" w:line="134" w:lineRule="exact"/>
              <w:rPr>
                <w:sz w:val="20"/>
                <w:szCs w:val="20"/>
                <w:color w:val="auto"/>
              </w:rPr>
            </w:pPr>
            <w:r>
              <w:rPr>
                <w:rFonts w:ascii="Times New Roman" w:cs="Times New Roman" w:eastAsia="Times New Roman" w:hAnsi="Times New Roman"/>
                <w:sz w:val="12"/>
                <w:szCs w:val="12"/>
                <w:color w:val="auto"/>
              </w:rPr>
              <w:t xml:space="preserve">Total non-accruing modifications to borrowers experiencing financial difficulty </w:t>
            </w:r>
            <w:r>
              <w:rPr>
                <w:rFonts w:ascii="Times New Roman" w:cs="Times New Roman" w:eastAsia="Times New Roman" w:hAnsi="Times New Roman"/>
                <w:sz w:val="15"/>
                <w:szCs w:val="15"/>
                <w:color w:val="auto"/>
                <w:vertAlign w:val="superscript"/>
              </w:rPr>
              <w:t>(1)</w:t>
            </w:r>
          </w:p>
        </w:tc>
        <w:tc>
          <w:tcPr>
            <w:tcW w:w="8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477</w:t>
            </w: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410</w:t>
            </w:r>
          </w:p>
        </w:tc>
        <w:tc>
          <w:tcPr>
            <w:tcW w:w="1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4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698</w:t>
            </w: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708</w:t>
            </w: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4" w:lineRule="exact"/>
              <w:rPr>
                <w:sz w:val="20"/>
                <w:szCs w:val="20"/>
                <w:color w:val="auto"/>
              </w:rPr>
            </w:pPr>
            <w:r>
              <w:rPr>
                <w:rFonts w:ascii="Times New Roman" w:cs="Times New Roman" w:eastAsia="Times New Roman" w:hAnsi="Times New Roman"/>
                <w:sz w:val="13"/>
                <w:szCs w:val="13"/>
                <w:color w:val="auto"/>
              </w:rPr>
              <w:t>710</w:t>
            </w: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4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 xml:space="preserve">Total non-performing assets </w:t>
            </w:r>
            <w:r>
              <w:rPr>
                <w:rFonts w:ascii="Times New Roman" w:cs="Times New Roman" w:eastAsia="Times New Roman" w:hAnsi="Times New Roman"/>
                <w:sz w:val="15"/>
                <w:szCs w:val="15"/>
                <w:color w:val="auto"/>
                <w:vertAlign w:val="superscript"/>
              </w:rPr>
              <w:t>(2)</w:t>
            </w: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20,351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bottom w:val="single" w:sz="8" w:color="auto"/>
            </w:tcBorders>
          </w:tcPr>
          <w:p>
            <w:pPr>
              <w:jc w:val="right"/>
              <w:ind w:right="44"/>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26,863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27,863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23,858</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restart"/>
          </w:tcPr>
          <w:p>
            <w:pPr>
              <w:spacing w:after="0"/>
              <w:rPr>
                <w:sz w:val="10"/>
                <w:szCs w:val="10"/>
                <w:color w:val="auto"/>
              </w:rPr>
            </w:pPr>
          </w:p>
        </w:tc>
        <w:tc>
          <w:tcPr>
            <w:tcW w:w="6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 xml:space="preserve">Accruing modifications to borrowers experiencing financial difficulty </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Mortgage loans: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1-4 family residential</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2,481</w:t>
            </w: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2,574</w:t>
            </w: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3,725</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3,791</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3,830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Multifamily residential</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Nonresidential properties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613</w:t>
            </w: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621</w:t>
            </w: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629</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655</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644</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Construction and land</w:t>
            </w: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Non-mortgage loans:</w:t>
            </w: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color w:val="auto"/>
              </w:rPr>
              <w:t>Business</w:t>
            </w:r>
          </w:p>
        </w:tc>
        <w:tc>
          <w:tcPr>
            <w:tcW w:w="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185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196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209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Borders>
              <w:bottom w:val="single" w:sz="8" w:color="CFF0FC"/>
            </w:tcBorders>
            <w:shd w:val="clear" w:color="auto" w:fill="CFF0FC"/>
          </w:tcPr>
          <w:p>
            <w:pPr>
              <w:ind w:left="100"/>
              <w:spacing w:after="0" w:line="142" w:lineRule="exact"/>
              <w:rPr>
                <w:sz w:val="20"/>
                <w:szCs w:val="20"/>
                <w:color w:val="auto"/>
              </w:rPr>
            </w:pPr>
            <w:r>
              <w:rPr>
                <w:rFonts w:ascii="Times New Roman" w:cs="Times New Roman" w:eastAsia="Times New Roman" w:hAnsi="Times New Roman"/>
                <w:sz w:val="13"/>
                <w:szCs w:val="13"/>
                <w:color w:val="auto"/>
              </w:rPr>
              <w:t>Consumer</w:t>
            </w: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740" w:type="dxa"/>
            <w:vAlign w:val="bottom"/>
          </w:tcPr>
          <w:p>
            <w:pPr>
              <w:ind w:left="220"/>
              <w:spacing w:after="0" w:line="134" w:lineRule="exact"/>
              <w:rPr>
                <w:sz w:val="20"/>
                <w:szCs w:val="20"/>
                <w:color w:val="auto"/>
              </w:rPr>
            </w:pPr>
            <w:r>
              <w:rPr>
                <w:rFonts w:ascii="Times New Roman" w:cs="Times New Roman" w:eastAsia="Times New Roman" w:hAnsi="Times New Roman"/>
                <w:sz w:val="12"/>
                <w:szCs w:val="12"/>
                <w:color w:val="auto"/>
              </w:rPr>
              <w:t xml:space="preserve">Total accruing modifications to borrowers experiencing financial difficulty </w:t>
            </w:r>
            <w:r>
              <w:rPr>
                <w:rFonts w:ascii="Times New Roman" w:cs="Times New Roman" w:eastAsia="Times New Roman" w:hAnsi="Times New Roman"/>
                <w:sz w:val="15"/>
                <w:szCs w:val="15"/>
                <w:color w:val="auto"/>
                <w:vertAlign w:val="superscript"/>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3,279</w:t>
            </w:r>
          </w:p>
        </w:tc>
        <w:tc>
          <w:tcPr>
            <w:tcW w:w="140" w:type="dxa"/>
            <w:vAlign w:val="bottom"/>
          </w:tcPr>
          <w:p>
            <w:pPr>
              <w:spacing w:after="0"/>
              <w:rPr>
                <w:sz w:val="11"/>
                <w:szCs w:val="11"/>
                <w:color w:val="auto"/>
              </w:rPr>
            </w:pPr>
          </w:p>
        </w:tc>
        <w:tc>
          <w:tcPr>
            <w:tcW w:w="200" w:type="dxa"/>
            <w:vAlign w:val="bottom"/>
            <w:gridSpan w:val="2"/>
          </w:tcPr>
          <w:p>
            <w:pPr>
              <w:jc w:val="right"/>
              <w:ind w:right="44"/>
              <w:spacing w:after="0" w:line="134"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3,385</w:t>
            </w:r>
          </w:p>
        </w:tc>
        <w:tc>
          <w:tcPr>
            <w:tcW w:w="140" w:type="dxa"/>
            <w:vAlign w:val="bottom"/>
          </w:tcPr>
          <w:p>
            <w:pPr>
              <w:spacing w:after="0"/>
              <w:rPr>
                <w:sz w:val="11"/>
                <w:szCs w:val="11"/>
                <w:color w:val="auto"/>
              </w:rPr>
            </w:pPr>
          </w:p>
        </w:tc>
        <w:tc>
          <w:tcPr>
            <w:tcW w:w="12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4,550</w:t>
            </w:r>
          </w:p>
        </w:tc>
        <w:tc>
          <w:tcPr>
            <w:tcW w:w="140" w:type="dxa"/>
            <w:vAlign w:val="bottom"/>
          </w:tcPr>
          <w:p>
            <w:pPr>
              <w:spacing w:after="0"/>
              <w:rPr>
                <w:sz w:val="11"/>
                <w:szCs w:val="11"/>
                <w:color w:val="auto"/>
              </w:rPr>
            </w:pPr>
          </w:p>
        </w:tc>
        <w:tc>
          <w:tcPr>
            <w:tcW w:w="10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4,649</w:t>
            </w:r>
          </w:p>
        </w:tc>
        <w:tc>
          <w:tcPr>
            <w:tcW w:w="160" w:type="dxa"/>
            <w:vAlign w:val="bottom"/>
          </w:tcPr>
          <w:p>
            <w:pPr>
              <w:spacing w:after="0"/>
              <w:rPr>
                <w:sz w:val="11"/>
                <w:szCs w:val="11"/>
                <w:color w:val="auto"/>
              </w:rPr>
            </w:pPr>
          </w:p>
        </w:tc>
        <w:tc>
          <w:tcPr>
            <w:tcW w:w="160" w:type="dxa"/>
            <w:vAlign w:val="bottom"/>
            <w:gridSpan w:val="2"/>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4,683</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740" w:type="dxa"/>
            <w:vAlign w:val="bottom"/>
            <w:tcBorders>
              <w:bottom w:val="single" w:sz="8" w:color="CFF0FC"/>
            </w:tcBorders>
            <w:shd w:val="clear" w:color="auto" w:fill="CFF0FC"/>
          </w:tcPr>
          <w:p>
            <w:pPr>
              <w:spacing w:after="0" w:line="134" w:lineRule="exact"/>
              <w:rPr>
                <w:sz w:val="20"/>
                <w:szCs w:val="20"/>
                <w:color w:val="auto"/>
              </w:rPr>
            </w:pPr>
            <w:r>
              <w:rPr>
                <w:rFonts w:ascii="Times New Roman" w:cs="Times New Roman" w:eastAsia="Times New Roman" w:hAnsi="Times New Roman"/>
                <w:sz w:val="12"/>
                <w:szCs w:val="12"/>
                <w:color w:val="auto"/>
              </w:rPr>
              <w:t xml:space="preserve">Total non-performing assets and accruing modifications to borrowers experiencing financial difficulty </w:t>
            </w:r>
            <w:r>
              <w:rPr>
                <w:rFonts w:ascii="Times New Roman" w:cs="Times New Roman" w:eastAsia="Times New Roman" w:hAnsi="Times New Roman"/>
                <w:sz w:val="15"/>
                <w:szCs w:val="15"/>
                <w:color w:val="auto"/>
                <w:vertAlign w:val="superscript"/>
              </w:rPr>
              <w:t>(1)</w:t>
            </w:r>
          </w:p>
        </w:tc>
        <w:tc>
          <w:tcPr>
            <w:tcW w:w="8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23,630</w:t>
            </w:r>
          </w:p>
        </w:tc>
        <w:tc>
          <w:tcPr>
            <w:tcW w:w="1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4"/>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30,248</w:t>
            </w:r>
          </w:p>
        </w:tc>
        <w:tc>
          <w:tcPr>
            <w:tcW w:w="14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32,413</w:t>
            </w:r>
          </w:p>
        </w:tc>
        <w:tc>
          <w:tcPr>
            <w:tcW w:w="14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28,507</w:t>
            </w:r>
          </w:p>
        </w:tc>
        <w:tc>
          <w:tcPr>
            <w:tcW w:w="1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31,985</w:t>
            </w:r>
          </w:p>
        </w:tc>
        <w:tc>
          <w:tcPr>
            <w:tcW w:w="1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Total non-performing assets to total assets</w:t>
            </w:r>
          </w:p>
        </w:tc>
        <w:tc>
          <w:tcPr>
            <w:tcW w:w="8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0.62%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0.83%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-1926590</wp:posOffset>
            </wp:positionV>
            <wp:extent cx="825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-1926590</wp:posOffset>
            </wp:positionV>
            <wp:extent cx="825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-1926590</wp:posOffset>
            </wp:positionV>
            <wp:extent cx="825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-1926590</wp:posOffset>
            </wp:positionV>
            <wp:extent cx="825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-1926590</wp:posOffset>
            </wp:positionV>
            <wp:extent cx="825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-1445895</wp:posOffset>
            </wp:positionV>
            <wp:extent cx="825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-1445895</wp:posOffset>
            </wp:positionV>
            <wp:extent cx="8255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-1445895</wp:posOffset>
            </wp:positionV>
            <wp:extent cx="8255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-1445895</wp:posOffset>
            </wp:positionV>
            <wp:extent cx="8255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-1445895</wp:posOffset>
            </wp:positionV>
            <wp:extent cx="8255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-327025</wp:posOffset>
            </wp:positionV>
            <wp:extent cx="8255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-327025</wp:posOffset>
            </wp:positionV>
            <wp:extent cx="825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-327025</wp:posOffset>
            </wp:positionV>
            <wp:extent cx="825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-327025</wp:posOffset>
            </wp:positionV>
            <wp:extent cx="825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-327025</wp:posOffset>
            </wp:positionV>
            <wp:extent cx="825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-132080</wp:posOffset>
            </wp:positionV>
            <wp:extent cx="825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4787900</wp:posOffset>
            </wp:positionH>
            <wp:positionV relativeFrom="paragraph">
              <wp:posOffset>-116840</wp:posOffset>
            </wp:positionV>
            <wp:extent cx="825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-132080</wp:posOffset>
            </wp:positionV>
            <wp:extent cx="825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-116840</wp:posOffset>
            </wp:positionV>
            <wp:extent cx="8255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-132080</wp:posOffset>
            </wp:positionV>
            <wp:extent cx="8255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6026785</wp:posOffset>
            </wp:positionH>
            <wp:positionV relativeFrom="paragraph">
              <wp:posOffset>-116840</wp:posOffset>
            </wp:positionV>
            <wp:extent cx="8255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-132080</wp:posOffset>
            </wp:positionV>
            <wp:extent cx="825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6544945</wp:posOffset>
            </wp:positionH>
            <wp:positionV relativeFrom="paragraph">
              <wp:posOffset>-116840</wp:posOffset>
            </wp:positionV>
            <wp:extent cx="825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-132080</wp:posOffset>
            </wp:positionV>
            <wp:extent cx="825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0" cy="7620"/>
                    </a:xfrm>
                    <a:prstGeom prst="rect">
                      <a:avLst/>
                    </a:prstGeom>
                    <a:noFill/>
                  </pic:spPr>
                </pic:pic>
              </a:graphicData>
            </a:graphic>
          </wp:anchor>
        </w:drawing>
        <w:drawing>
          <wp:anchor simplePos="0" relativeHeight="251657728" behindDoc="1" locked="0" layoutInCell="0" allowOverlap="1">
            <wp:simplePos x="0" y="0"/>
            <wp:positionH relativeFrom="column">
              <wp:posOffset>7063105</wp:posOffset>
            </wp:positionH>
            <wp:positionV relativeFrom="paragraph">
              <wp:posOffset>-116840</wp:posOffset>
            </wp:positionV>
            <wp:extent cx="8255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0" cy="7620"/>
                    </a:xfrm>
                    <a:prstGeom prst="rect">
                      <a:avLst/>
                    </a:prstGeom>
                    <a:noFill/>
                  </pic:spPr>
                </pic:pic>
              </a:graphicData>
            </a:graphic>
          </wp:anchor>
        </w:drawing>
      </w:r>
    </w:p>
    <w:p>
      <w:pPr>
        <w:spacing w:after="0" w:line="173" w:lineRule="exact"/>
        <w:rPr>
          <w:sz w:val="20"/>
          <w:szCs w:val="20"/>
          <w:color w:val="auto"/>
        </w:rPr>
      </w:pPr>
    </w:p>
    <w:p>
      <w:pPr>
        <w:ind w:left="740" w:right="240" w:hanging="357"/>
        <w:spacing w:after="0" w:line="299" w:lineRule="auto"/>
        <w:tabs>
          <w:tab w:leader="none" w:pos="57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include both modifications to borrowers experiencing financial difficulty, in accordance with ASU 2022-02 adopted on January 1, 2023, and previously existing troubled debt restructurings.</w:t>
      </w:r>
    </w:p>
    <w:p>
      <w:pPr>
        <w:spacing w:after="0" w:line="12" w:lineRule="exact"/>
        <w:rPr>
          <w:rFonts w:ascii="Times New Roman" w:cs="Times New Roman" w:eastAsia="Times New Roman" w:hAnsi="Times New Roman"/>
          <w:sz w:val="14"/>
          <w:szCs w:val="14"/>
          <w:color w:val="auto"/>
        </w:rPr>
      </w:pPr>
    </w:p>
    <w:p>
      <w:pPr>
        <w:ind w:left="580" w:hanging="197"/>
        <w:spacing w:after="0"/>
        <w:tabs>
          <w:tab w:leader="none" w:pos="5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nonperforming mortgage loans held for sale.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414655</wp:posOffset>
            </wp:positionV>
            <wp:extent cx="717486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Average Balance Sheets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8"/>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w w:val="98"/>
              </w:rPr>
              <w:t>For the Three Months Ended March 31,</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58"/>
              <w:spacing w:after="0" w:line="122" w:lineRule="exact"/>
              <w:rPr>
                <w:sz w:val="20"/>
                <w:szCs w:val="20"/>
                <w:color w:val="auto"/>
              </w:rPr>
            </w:pPr>
            <w:r>
              <w:rPr>
                <w:rFonts w:ascii="Times New Roman" w:cs="Times New Roman" w:eastAsia="Times New Roman" w:hAnsi="Times New Roman"/>
                <w:sz w:val="13"/>
                <w:szCs w:val="13"/>
                <w:b w:val="1"/>
                <w:bCs w:val="1"/>
                <w:color w:val="auto"/>
                <w:w w:val="92"/>
              </w:rPr>
              <w:t>2026</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5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58"/>
              <w:spacing w:after="0" w:line="11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Pr>
          <w:p>
            <w:pPr>
              <w:spacing w:after="0"/>
              <w:rPr>
                <w:sz w:val="9"/>
                <w:szCs w:val="9"/>
                <w:color w:val="auto"/>
              </w:rPr>
            </w:pPr>
          </w:p>
        </w:tc>
        <w:tc>
          <w:tcPr>
            <w:tcW w:w="680" w:type="dxa"/>
            <w:vAlign w:val="bottom"/>
          </w:tcPr>
          <w:p>
            <w:pPr>
              <w:jc w:val="center"/>
              <w:ind w:right="58"/>
              <w:spacing w:after="0" w:line="112"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Average</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Outstanding</w:t>
            </w:r>
          </w:p>
        </w:tc>
        <w:tc>
          <w:tcPr>
            <w:tcW w:w="14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160" w:type="dxa"/>
            <w:vAlign w:val="bottom"/>
          </w:tcPr>
          <w:p>
            <w:pPr>
              <w:spacing w:after="0"/>
              <w:rPr>
                <w:sz w:val="11"/>
                <w:szCs w:val="11"/>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5"/>
              </w:rPr>
              <w:t>Balance</w:t>
            </w: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157"/>
              <w:spacing w:after="0" w:line="154" w:lineRule="exact"/>
              <w:rPr>
                <w:sz w:val="20"/>
                <w:szCs w:val="20"/>
                <w:color w:val="auto"/>
              </w:rPr>
            </w:pPr>
            <w:r>
              <w:rPr>
                <w:rFonts w:ascii="Times New Roman" w:cs="Times New Roman" w:eastAsia="Times New Roman" w:hAnsi="Times New Roman"/>
                <w:sz w:val="13"/>
                <w:szCs w:val="13"/>
                <w:b w:val="1"/>
                <w:bCs w:val="1"/>
                <w:color w:val="auto"/>
                <w:w w:val="96"/>
              </w:rPr>
              <w:t xml:space="preserve">Yield/Rate </w:t>
            </w:r>
            <w:r>
              <w:rPr>
                <w:rFonts w:ascii="Times New Roman" w:cs="Times New Roman" w:eastAsia="Times New Roman" w:hAnsi="Times New Roman"/>
                <w:sz w:val="16"/>
                <w:szCs w:val="16"/>
                <w:b w:val="1"/>
                <w:bCs w:val="1"/>
                <w:color w:val="auto"/>
                <w:w w:val="96"/>
                <w:vertAlign w:val="superscript"/>
              </w:rPr>
              <w:t>(1)</w:t>
            </w:r>
          </w:p>
        </w:tc>
        <w:tc>
          <w:tcPr>
            <w:tcW w:w="120" w:type="dxa"/>
            <w:vAlign w:val="bottom"/>
          </w:tcPr>
          <w:p>
            <w:pPr>
              <w:spacing w:after="0"/>
              <w:rPr>
                <w:sz w:val="13"/>
                <w:szCs w:val="13"/>
                <w:color w:val="auto"/>
              </w:rPr>
            </w:pPr>
          </w:p>
        </w:tc>
        <w:tc>
          <w:tcPr>
            <w:tcW w:w="68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9"/>
              </w:rPr>
              <w:t>Balance</w:t>
            </w:r>
          </w:p>
        </w:tc>
        <w:tc>
          <w:tcPr>
            <w:tcW w:w="1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Yield/Rate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Interest-earning assets:</w:t>
            </w:r>
          </w:p>
        </w:tc>
        <w:tc>
          <w:tcPr>
            <w:tcW w:w="2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(Dollars</w:t>
            </w:r>
          </w:p>
        </w:tc>
        <w:tc>
          <w:tcPr>
            <w:tcW w:w="16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b w:val="1"/>
                <w:bCs w:val="1"/>
                <w:color w:val="auto"/>
              </w:rPr>
              <w:t>in</w:t>
            </w:r>
          </w:p>
        </w:tc>
        <w:tc>
          <w:tcPr>
            <w:tcW w:w="800" w:type="dxa"/>
            <w:vAlign w:val="bottom"/>
            <w:tcBorders>
              <w:top w:val="single" w:sz="8" w:color="auto"/>
            </w:tcBorders>
            <w:gridSpan w:val="2"/>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960" w:type="dxa"/>
            <w:vAlign w:val="bottom"/>
            <w:gridSpan w:val="3"/>
            <w:vMerge w:val="continue"/>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w w:val="86"/>
              </w:rPr>
              <w:t xml:space="preserve">Loans </w:t>
            </w:r>
            <w:r>
              <w:rPr>
                <w:rFonts w:ascii="Times New Roman" w:cs="Times New Roman" w:eastAsia="Times New Roman" w:hAnsi="Times New Roman"/>
                <w:sz w:val="15"/>
                <w:szCs w:val="15"/>
                <w:color w:val="auto"/>
                <w:w w:val="86"/>
                <w:vertAlign w:val="superscript"/>
              </w:rPr>
              <w:t>(2)</w:t>
            </w:r>
          </w:p>
        </w:tc>
        <w:tc>
          <w:tcPr>
            <w:tcW w:w="3540" w:type="dxa"/>
            <w:vAlign w:val="bottom"/>
          </w:tcPr>
          <w:p>
            <w:pPr>
              <w:spacing w:after="0"/>
              <w:rPr>
                <w:sz w:val="11"/>
                <w:szCs w:val="11"/>
                <w:color w:val="auto"/>
              </w:rPr>
            </w:pPr>
          </w:p>
        </w:tc>
        <w:tc>
          <w:tcPr>
            <w:tcW w:w="214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2,680,018</w:t>
            </w:r>
          </w:p>
        </w:tc>
        <w:tc>
          <w:tcPr>
            <w:tcW w:w="24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43,982</w:t>
            </w:r>
          </w:p>
        </w:tc>
        <w:tc>
          <w:tcPr>
            <w:tcW w:w="1120" w:type="dxa"/>
            <w:vAlign w:val="bottom"/>
            <w:gridSpan w:val="3"/>
          </w:tcPr>
          <w:p>
            <w:pPr>
              <w:jc w:val="right"/>
              <w:spacing w:after="0" w:line="130" w:lineRule="exact"/>
              <w:rPr>
                <w:sz w:val="20"/>
                <w:szCs w:val="20"/>
                <w:color w:val="auto"/>
              </w:rPr>
            </w:pPr>
            <w:r>
              <w:rPr>
                <w:rFonts w:ascii="Times New Roman" w:cs="Times New Roman" w:eastAsia="Times New Roman" w:hAnsi="Times New Roman"/>
                <w:sz w:val="13"/>
                <w:szCs w:val="13"/>
                <w:color w:val="auto"/>
              </w:rPr>
              <w:t>6.66%</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2,369,433</w:t>
            </w:r>
          </w:p>
        </w:tc>
        <w:tc>
          <w:tcPr>
            <w:tcW w:w="26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w w:val="94"/>
              </w:rPr>
              <w:t>37,136</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gridSpan w:val="2"/>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6.36%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940" w:type="dxa"/>
            <w:vAlign w:val="bottom"/>
            <w:gridSpan w:val="2"/>
          </w:tcPr>
          <w:p>
            <w:pPr>
              <w:spacing w:after="0" w:line="154" w:lineRule="exact"/>
              <w:rPr>
                <w:sz w:val="20"/>
                <w:szCs w:val="20"/>
                <w:color w:val="auto"/>
              </w:rPr>
            </w:pPr>
            <w:r>
              <w:rPr>
                <w:rFonts w:ascii="Times New Roman" w:cs="Times New Roman" w:eastAsia="Times New Roman" w:hAnsi="Times New Roman"/>
                <w:sz w:val="13"/>
                <w:szCs w:val="13"/>
                <w:color w:val="auto"/>
              </w:rPr>
              <w:t xml:space="preserve">Securities </w:t>
            </w:r>
            <w:r>
              <w:rPr>
                <w:rFonts w:ascii="Times New Roman" w:cs="Times New Roman" w:eastAsia="Times New Roman" w:hAnsi="Times New Roman"/>
                <w:sz w:val="16"/>
                <w:szCs w:val="16"/>
                <w:color w:val="auto"/>
                <w:vertAlign w:val="superscript"/>
              </w:rPr>
              <w:t>(3)</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360,452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467,560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4,521</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00" w:type="dxa"/>
            <w:vAlign w:val="bottom"/>
            <w:tcBorders>
              <w:bottom w:val="single" w:sz="8" w:color="CFF0FC"/>
            </w:tcBorders>
            <w:shd w:val="clear" w:color="auto" w:fill="CFF0FC"/>
          </w:tcPr>
          <w:p>
            <w:pPr>
              <w:spacing w:after="0" w:line="131" w:lineRule="exact"/>
              <w:rPr>
                <w:sz w:val="20"/>
                <w:szCs w:val="20"/>
                <w:color w:val="auto"/>
              </w:rPr>
            </w:pPr>
            <w:r>
              <w:rPr>
                <w:rFonts w:ascii="Times New Roman" w:cs="Times New Roman" w:eastAsia="Times New Roman" w:hAnsi="Times New Roman"/>
                <w:sz w:val="12"/>
                <w:szCs w:val="12"/>
                <w:color w:val="auto"/>
                <w:w w:val="90"/>
              </w:rPr>
              <w:t xml:space="preserve">Other </w:t>
            </w:r>
            <w:r>
              <w:rPr>
                <w:rFonts w:ascii="Times New Roman" w:cs="Times New Roman" w:eastAsia="Times New Roman" w:hAnsi="Times New Roman"/>
                <w:sz w:val="15"/>
                <w:szCs w:val="15"/>
                <w:color w:val="auto"/>
                <w:w w:val="90"/>
                <w:vertAlign w:val="superscript"/>
              </w:rPr>
              <w:t>(4)</w:t>
            </w:r>
          </w:p>
        </w:tc>
        <w:tc>
          <w:tcPr>
            <w:tcW w:w="3540" w:type="dxa"/>
            <w:vAlign w:val="bottom"/>
            <w:tcBorders>
              <w:bottom w:val="single" w:sz="8" w:color="CFF0FC"/>
            </w:tcBorders>
            <w:shd w:val="clear" w:color="auto" w:fill="CFF0FC"/>
          </w:tcPr>
          <w:p>
            <w:pPr>
              <w:spacing w:after="0"/>
              <w:rPr>
                <w:sz w:val="11"/>
                <w:szCs w:val="11"/>
                <w:color w:val="auto"/>
              </w:rPr>
            </w:pPr>
          </w:p>
        </w:tc>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129,585</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1,432</w:t>
            </w:r>
          </w:p>
        </w:tc>
        <w:tc>
          <w:tcPr>
            <w:tcW w:w="1120" w:type="dxa"/>
            <w:vAlign w:val="bottom"/>
            <w:tcBorders>
              <w:bottom w:val="single" w:sz="8" w:color="CFF0FC"/>
            </w:tcBorders>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4.48%</w:t>
            </w: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186,021</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2,340</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5.10%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interest-earning assets</w:t>
            </w: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3,170,055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48,662</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6.23%</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3,023,014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4"/>
              </w:rPr>
              <w:t>43,997</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5.90%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CFF0FC"/>
            </w:tcBorders>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Non-interest-earning assets</w:t>
            </w:r>
          </w:p>
        </w:tc>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93,219</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109,166</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38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assets</w:t>
            </w:r>
          </w:p>
        </w:tc>
        <w:tc>
          <w:tcPr>
            <w:tcW w:w="204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3,263,274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3,132,180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940" w:type="dxa"/>
            <w:vAlign w:val="bottom"/>
            <w:gridSpan w:val="2"/>
            <w:shd w:val="clear" w:color="auto" w:fill="CFF0FC"/>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Interest-bearing liabilities:</w:t>
            </w:r>
          </w:p>
        </w:tc>
        <w:tc>
          <w:tcPr>
            <w:tcW w:w="2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40" w:type="dxa"/>
            <w:vAlign w:val="bottom"/>
            <w:gridSpan w:val="2"/>
          </w:tcPr>
          <w:p>
            <w:pPr>
              <w:spacing w:after="0" w:line="110" w:lineRule="exact"/>
              <w:rPr>
                <w:sz w:val="20"/>
                <w:szCs w:val="20"/>
                <w:color w:val="auto"/>
              </w:rPr>
            </w:pPr>
            <w:r>
              <w:rPr>
                <w:rFonts w:ascii="Times New Roman" w:cs="Times New Roman" w:eastAsia="Times New Roman" w:hAnsi="Times New Roman"/>
                <w:sz w:val="12"/>
                <w:szCs w:val="12"/>
                <w:color w:val="auto"/>
              </w:rPr>
              <w:t>NOW/IOLA</w:t>
            </w:r>
          </w:p>
        </w:tc>
        <w:tc>
          <w:tcPr>
            <w:tcW w:w="21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77,833</w:t>
            </w:r>
          </w:p>
        </w:tc>
        <w:tc>
          <w:tcPr>
            <w:tcW w:w="24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134</w:t>
            </w:r>
          </w:p>
        </w:tc>
        <w:tc>
          <w:tcPr>
            <w:tcW w:w="1120" w:type="dxa"/>
            <w:vAlign w:val="bottom"/>
            <w:gridSpan w:val="3"/>
          </w:tcPr>
          <w:p>
            <w:pPr>
              <w:jc w:val="right"/>
              <w:spacing w:after="0" w:line="110" w:lineRule="exact"/>
              <w:rPr>
                <w:sz w:val="20"/>
                <w:szCs w:val="20"/>
                <w:color w:val="auto"/>
              </w:rPr>
            </w:pPr>
            <w:r>
              <w:rPr>
                <w:rFonts w:ascii="Times New Roman" w:cs="Times New Roman" w:eastAsia="Times New Roman" w:hAnsi="Times New Roman"/>
                <w:sz w:val="12"/>
                <w:szCs w:val="12"/>
                <w:color w:val="auto"/>
              </w:rPr>
              <w:t>0.70%</w:t>
            </w:r>
          </w:p>
        </w:tc>
        <w:tc>
          <w:tcPr>
            <w:tcW w:w="120" w:type="dxa"/>
            <w:vAlign w:val="bottom"/>
          </w:tcPr>
          <w:p>
            <w:pPr>
              <w:jc w:val="right"/>
              <w:ind w:right="4"/>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72,354</w:t>
            </w:r>
          </w:p>
        </w:tc>
        <w:tc>
          <w:tcPr>
            <w:tcW w:w="260" w:type="dxa"/>
            <w:vAlign w:val="bottom"/>
            <w:gridSpan w:val="2"/>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spacing w:after="0" w:line="110" w:lineRule="exact"/>
              <w:rPr>
                <w:sz w:val="20"/>
                <w:szCs w:val="20"/>
                <w:color w:val="auto"/>
              </w:rPr>
            </w:pPr>
            <w:r>
              <w:rPr>
                <w:rFonts w:ascii="Times New Roman" w:cs="Times New Roman" w:eastAsia="Times New Roman" w:hAnsi="Times New Roman"/>
                <w:sz w:val="12"/>
                <w:szCs w:val="12"/>
                <w:color w:val="auto"/>
              </w:rPr>
              <w:t>115</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gridSpan w:val="2"/>
          </w:tcPr>
          <w:p>
            <w:pPr>
              <w:jc w:val="right"/>
              <w:ind w:right="20"/>
              <w:spacing w:after="0" w:line="110" w:lineRule="exact"/>
              <w:rPr>
                <w:sz w:val="20"/>
                <w:szCs w:val="20"/>
                <w:color w:val="auto"/>
              </w:rPr>
            </w:pPr>
            <w:r>
              <w:rPr>
                <w:rFonts w:ascii="Times New Roman" w:cs="Times New Roman" w:eastAsia="Times New Roman" w:hAnsi="Times New Roman"/>
                <w:sz w:val="12"/>
                <w:szCs w:val="12"/>
                <w:color w:val="auto"/>
              </w:rPr>
              <w:t>0.64%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4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Money market</w:t>
            </w: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949,007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8,468</w:t>
            </w:r>
          </w:p>
        </w:tc>
        <w:tc>
          <w:tcPr>
            <w:tcW w:w="112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color w:val="auto"/>
              </w:rPr>
              <w:t>3.62%</w:t>
            </w:r>
          </w:p>
        </w:tc>
        <w:tc>
          <w:tcPr>
            <w:tcW w:w="12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827,948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8,411</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4.12%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w w:val="92"/>
              </w:rPr>
              <w:t>Savings</w:t>
            </w:r>
          </w:p>
        </w:tc>
        <w:tc>
          <w:tcPr>
            <w:tcW w:w="3540" w:type="dxa"/>
            <w:vAlign w:val="bottom"/>
          </w:tcPr>
          <w:p>
            <w:pPr>
              <w:jc w:val="right"/>
              <w:ind w:right="3398"/>
              <w:spacing w:after="0"/>
              <w:rPr>
                <w:sz w:val="20"/>
                <w:szCs w:val="20"/>
                <w:color w:val="auto"/>
              </w:rPr>
            </w:pPr>
            <w:r>
              <w:rPr>
                <w:rFonts w:ascii="Times New Roman" w:cs="Times New Roman" w:eastAsia="Times New Roman" w:hAnsi="Times New Roman"/>
                <w:sz w:val="8"/>
                <w:szCs w:val="8"/>
                <w:color w:val="auto"/>
                <w:w w:val="85"/>
              </w:rPr>
              <w:t>(5)</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120,205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117,616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CFF0FC"/>
            </w:tcBorders>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Certificates of deposit</w:t>
            </w:r>
          </w:p>
        </w:tc>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718,301</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6,415</w:t>
            </w:r>
          </w:p>
        </w:tc>
        <w:tc>
          <w:tcPr>
            <w:tcW w:w="1120" w:type="dxa"/>
            <w:vAlign w:val="bottom"/>
            <w:tcBorders>
              <w:bottom w:val="single" w:sz="8" w:color="CFF0FC"/>
            </w:tcBorders>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3.62%</w:t>
            </w: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794,270</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7,754</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deposits</w:t>
            </w: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1,865,346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15,045</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1,812,188</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4"/>
              </w:rPr>
              <w:t>16,308</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3.65%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CFF0FC"/>
            </w:tcBorders>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Borrowings</w:t>
            </w:r>
          </w:p>
        </w:tc>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584,100</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5,391</w:t>
            </w:r>
          </w:p>
        </w:tc>
        <w:tc>
          <w:tcPr>
            <w:tcW w:w="1120" w:type="dxa"/>
            <w:vAlign w:val="bottom"/>
            <w:tcBorders>
              <w:bottom w:val="single" w:sz="8" w:color="CFF0FC"/>
            </w:tcBorders>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3.74%</w:t>
            </w: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568,601</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5,486</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CFF0FC"/>
            </w:tcBorders>
            <w:gridSpan w:val="2"/>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interest-bearing liabilities</w:t>
            </w:r>
          </w:p>
        </w:tc>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2,449,446</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20,436</w:t>
            </w:r>
          </w:p>
        </w:tc>
        <w:tc>
          <w:tcPr>
            <w:tcW w:w="11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color w:val="auto"/>
              </w:rPr>
              <w:t>3.38%</w:t>
            </w: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2,380,789</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w w:val="94"/>
              </w:rPr>
              <w:t>21,794</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gridSpan w:val="2"/>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Non-interest-bearing liabilities:</w:t>
            </w:r>
          </w:p>
        </w:tc>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Non-interest-bearing demand</w:t>
            </w:r>
          </w:p>
        </w:tc>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221,056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196,627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Borders>
              <w:bottom w:val="single" w:sz="8" w:color="CFF0FC"/>
            </w:tcBorders>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Other non-interest-bearing liabilities</w:t>
            </w:r>
          </w:p>
        </w:tc>
        <w:tc>
          <w:tcPr>
            <w:tcW w:w="20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70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44,038</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43,915</w:t>
            </w: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380" w:type="dxa"/>
            <w:vAlign w:val="bottom"/>
            <w:tcBorders>
              <w:bottom w:val="single" w:sz="8" w:color="auto"/>
            </w:tcBorders>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28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non-interest-bearing liabilities</w:t>
            </w:r>
          </w:p>
        </w:tc>
        <w:tc>
          <w:tcPr>
            <w:tcW w:w="20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265,094</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240,542</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liabilities</w:t>
            </w:r>
          </w:p>
        </w:tc>
        <w:tc>
          <w:tcPr>
            <w:tcW w:w="2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2,714,540</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20,436</w:t>
            </w:r>
          </w:p>
        </w:tc>
        <w:tc>
          <w:tcPr>
            <w:tcW w:w="16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2,621,331</w:t>
            </w: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w w:val="94"/>
              </w:rPr>
              <w:t>21,794</w:t>
            </w: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tcPr>
          <w:p>
            <w:pPr>
              <w:spacing w:after="0" w:line="130" w:lineRule="exact"/>
              <w:rPr>
                <w:sz w:val="20"/>
                <w:szCs w:val="20"/>
                <w:color w:val="auto"/>
              </w:rPr>
            </w:pPr>
            <w:r>
              <w:rPr>
                <w:rFonts w:ascii="Times New Roman" w:cs="Times New Roman" w:eastAsia="Times New Roman" w:hAnsi="Times New Roman"/>
                <w:sz w:val="13"/>
                <w:szCs w:val="13"/>
                <w:color w:val="auto"/>
              </w:rPr>
              <w:t>Total equity</w:t>
            </w:r>
          </w:p>
        </w:tc>
        <w:tc>
          <w:tcPr>
            <w:tcW w:w="20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548,735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510,849</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940" w:type="dxa"/>
            <w:vAlign w:val="bottom"/>
            <w:tcBorders>
              <w:bottom w:val="single" w:sz="8" w:color="CFF0FC"/>
            </w:tcBorders>
            <w:gridSpan w:val="2"/>
            <w:shd w:val="clear" w:color="auto" w:fill="CFF0FC"/>
          </w:tcPr>
          <w:p>
            <w:pPr>
              <w:ind w:left="80"/>
              <w:spacing w:after="0" w:line="122" w:lineRule="exact"/>
              <w:rPr>
                <w:sz w:val="20"/>
                <w:szCs w:val="20"/>
                <w:color w:val="auto"/>
              </w:rPr>
            </w:pPr>
            <w:r>
              <w:rPr>
                <w:rFonts w:ascii="Times New Roman" w:cs="Times New Roman" w:eastAsia="Times New Roman" w:hAnsi="Times New Roman"/>
                <w:sz w:val="13"/>
                <w:szCs w:val="13"/>
                <w:color w:val="auto"/>
              </w:rPr>
              <w:t>Total liabilities and total equity</w:t>
            </w:r>
          </w:p>
        </w:tc>
        <w:tc>
          <w:tcPr>
            <w:tcW w:w="20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3,263,275</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1120" w:type="dxa"/>
            <w:vAlign w:val="bottom"/>
            <w:tcBorders>
              <w:bottom w:val="single" w:sz="8" w:color="CFF0FC"/>
            </w:tcBorders>
            <w:gridSpan w:val="3"/>
            <w:shd w:val="clear" w:color="auto" w:fill="CFF0FC"/>
          </w:tcPr>
          <w:p>
            <w:pPr>
              <w:jc w:val="right"/>
              <w:spacing w:after="0" w:line="122" w:lineRule="exact"/>
              <w:rPr>
                <w:sz w:val="20"/>
                <w:szCs w:val="20"/>
                <w:color w:val="auto"/>
              </w:rPr>
            </w:pPr>
            <w:r>
              <w:rPr>
                <w:rFonts w:ascii="Times New Roman" w:cs="Times New Roman" w:eastAsia="Times New Roman" w:hAnsi="Times New Roman"/>
                <w:sz w:val="13"/>
                <w:szCs w:val="13"/>
                <w:color w:val="auto"/>
              </w:rPr>
              <w:t>3.38%</w:t>
            </w:r>
          </w:p>
        </w:tc>
        <w:tc>
          <w:tcPr>
            <w:tcW w:w="120" w:type="dxa"/>
            <w:vAlign w:val="bottom"/>
            <w:tcBorders>
              <w:bottom w:val="single" w:sz="8" w:color="auto"/>
            </w:tcBorders>
            <w:shd w:val="clear" w:color="auto" w:fill="CFF0FC"/>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FF0FC"/>
          </w:tcPr>
          <w:p>
            <w:pPr>
              <w:jc w:val="right"/>
              <w:spacing w:after="0" w:line="110" w:lineRule="exact"/>
              <w:rPr>
                <w:sz w:val="20"/>
                <w:szCs w:val="20"/>
                <w:color w:val="auto"/>
              </w:rPr>
            </w:pPr>
            <w:r>
              <w:rPr>
                <w:rFonts w:ascii="Times New Roman" w:cs="Times New Roman" w:eastAsia="Times New Roman" w:hAnsi="Times New Roman"/>
                <w:sz w:val="12"/>
                <w:szCs w:val="12"/>
                <w:color w:val="auto"/>
              </w:rPr>
              <w:t>3,132,180</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400" w:type="dxa"/>
            <w:vAlign w:val="bottom"/>
            <w:tcBorders>
              <w:bottom w:val="single" w:sz="8" w:color="CFF0FC"/>
            </w:tcBorders>
            <w:gridSpan w:val="2"/>
            <w:shd w:val="clear" w:color="auto" w:fill="CFF0FC"/>
          </w:tcPr>
          <w:p>
            <w:pPr>
              <w:jc w:val="right"/>
              <w:ind w:right="20"/>
              <w:spacing w:after="0" w:line="122" w:lineRule="exact"/>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354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70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680" w:type="dxa"/>
            <w:vAlign w:val="bottom"/>
            <w:tcBorders>
              <w:top w:val="single" w:sz="8" w:color="CFF0FC"/>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960" w:type="dxa"/>
            <w:vAlign w:val="bottom"/>
            <w:gridSpan w:val="3"/>
          </w:tcPr>
          <w:p>
            <w:pPr>
              <w:spacing w:after="0" w:line="106" w:lineRule="exact"/>
              <w:rPr>
                <w:sz w:val="20"/>
                <w:szCs w:val="20"/>
                <w:color w:val="auto"/>
              </w:rPr>
            </w:pPr>
            <w:r>
              <w:rPr>
                <w:rFonts w:ascii="Times New Roman" w:cs="Times New Roman" w:eastAsia="Times New Roman" w:hAnsi="Times New Roman"/>
                <w:sz w:val="12"/>
                <w:szCs w:val="12"/>
                <w:color w:val="auto"/>
              </w:rPr>
              <w:t>Net interest income</w:t>
            </w:r>
          </w:p>
        </w:tc>
        <w:tc>
          <w:tcPr>
            <w:tcW w:w="2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28,226</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22,203</w:t>
            </w: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3940" w:type="dxa"/>
            <w:vAlign w:val="bottom"/>
            <w:tcBorders>
              <w:bottom w:val="single" w:sz="8" w:color="CFF0FC"/>
            </w:tcBorders>
            <w:gridSpan w:val="2"/>
            <w:shd w:val="clear" w:color="auto" w:fill="CFF0FC"/>
          </w:tcPr>
          <w:p>
            <w:pPr>
              <w:spacing w:after="0" w:line="106" w:lineRule="exact"/>
              <w:rPr>
                <w:sz w:val="20"/>
                <w:szCs w:val="20"/>
                <w:color w:val="auto"/>
              </w:rPr>
            </w:pPr>
            <w:r>
              <w:rPr>
                <w:rFonts w:ascii="Times New Roman" w:cs="Times New Roman" w:eastAsia="Times New Roman" w:hAnsi="Times New Roman"/>
                <w:sz w:val="10"/>
                <w:szCs w:val="10"/>
                <w:color w:val="auto"/>
              </w:rPr>
              <w:t xml:space="preserve">Net interest rate spread </w:t>
            </w:r>
            <w:r>
              <w:rPr>
                <w:rFonts w:ascii="Times New Roman" w:cs="Times New Roman" w:eastAsia="Times New Roman" w:hAnsi="Times New Roman"/>
                <w:sz w:val="12"/>
                <w:szCs w:val="12"/>
                <w:color w:val="auto"/>
                <w:vertAlign w:val="superscript"/>
              </w:rPr>
              <w:t>(6)</w:t>
            </w:r>
          </w:p>
        </w:tc>
        <w:tc>
          <w:tcPr>
            <w:tcW w:w="20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shd w:val="clear" w:color="auto" w:fill="CFF0FC"/>
          </w:tcPr>
          <w:p>
            <w:pPr>
              <w:spacing w:after="0"/>
              <w:rPr>
                <w:sz w:val="9"/>
                <w:szCs w:val="9"/>
                <w:color w:val="auto"/>
              </w:rPr>
            </w:pPr>
          </w:p>
        </w:tc>
        <w:tc>
          <w:tcPr>
            <w:tcW w:w="700" w:type="dxa"/>
            <w:vAlign w:val="bottom"/>
            <w:tcBorders>
              <w:bottom w:val="single" w:sz="8" w:color="auto"/>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1120" w:type="dxa"/>
            <w:vAlign w:val="bottom"/>
            <w:tcBorders>
              <w:bottom w:val="single" w:sz="8" w:color="CFF0FC"/>
            </w:tcBorders>
            <w:gridSpan w:val="3"/>
            <w:shd w:val="clear" w:color="auto" w:fill="CFF0FC"/>
          </w:tcPr>
          <w:p>
            <w:pPr>
              <w:jc w:val="right"/>
              <w:spacing w:after="0" w:line="106" w:lineRule="exact"/>
              <w:rPr>
                <w:sz w:val="20"/>
                <w:szCs w:val="20"/>
                <w:color w:val="auto"/>
              </w:rPr>
            </w:pPr>
            <w:r>
              <w:rPr>
                <w:rFonts w:ascii="Times New Roman" w:cs="Times New Roman" w:eastAsia="Times New Roman" w:hAnsi="Times New Roman"/>
                <w:sz w:val="12"/>
                <w:szCs w:val="12"/>
                <w:color w:val="auto"/>
              </w:rPr>
              <w:t>2.85%</w:t>
            </w:r>
          </w:p>
        </w:tc>
        <w:tc>
          <w:tcPr>
            <w:tcW w:w="12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spacing w:after="0"/>
              <w:rPr>
                <w:sz w:val="9"/>
                <w:szCs w:val="9"/>
                <w:color w:val="auto"/>
              </w:rPr>
            </w:pPr>
          </w:p>
        </w:tc>
        <w:tc>
          <w:tcPr>
            <w:tcW w:w="16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380" w:type="dxa"/>
            <w:vAlign w:val="bottom"/>
            <w:tcBorders>
              <w:bottom w:val="single" w:sz="8" w:color="CFF0FC"/>
            </w:tcBorders>
            <w:shd w:val="clear" w:color="auto" w:fill="CFF0FC"/>
          </w:tcPr>
          <w:p>
            <w:pPr>
              <w:spacing w:after="0"/>
              <w:rPr>
                <w:sz w:val="9"/>
                <w:szCs w:val="9"/>
                <w:color w:val="auto"/>
              </w:rPr>
            </w:pPr>
          </w:p>
        </w:tc>
        <w:tc>
          <w:tcPr>
            <w:tcW w:w="140" w:type="dxa"/>
            <w:vAlign w:val="bottom"/>
            <w:tcBorders>
              <w:bottom w:val="single" w:sz="8" w:color="CFF0FC"/>
            </w:tcBorders>
            <w:shd w:val="clear" w:color="auto" w:fill="CFF0FC"/>
          </w:tcPr>
          <w:p>
            <w:pPr>
              <w:spacing w:after="0"/>
              <w:rPr>
                <w:sz w:val="9"/>
                <w:szCs w:val="9"/>
                <w:color w:val="auto"/>
              </w:rPr>
            </w:pPr>
          </w:p>
        </w:tc>
        <w:tc>
          <w:tcPr>
            <w:tcW w:w="740" w:type="dxa"/>
            <w:vAlign w:val="bottom"/>
            <w:tcBorders>
              <w:bottom w:val="single" w:sz="8" w:color="CFF0FC"/>
            </w:tcBorders>
            <w:shd w:val="clear" w:color="auto" w:fill="CFF0FC"/>
          </w:tcPr>
          <w:p>
            <w:pPr>
              <w:spacing w:after="0"/>
              <w:rPr>
                <w:sz w:val="9"/>
                <w:szCs w:val="9"/>
                <w:color w:val="auto"/>
              </w:rPr>
            </w:pPr>
          </w:p>
        </w:tc>
        <w:tc>
          <w:tcPr>
            <w:tcW w:w="400" w:type="dxa"/>
            <w:vAlign w:val="bottom"/>
            <w:tcBorders>
              <w:bottom w:val="single" w:sz="8" w:color="CFF0FC"/>
            </w:tcBorders>
            <w:gridSpan w:val="2"/>
            <w:shd w:val="clear" w:color="auto" w:fill="CFF0FC"/>
          </w:tcPr>
          <w:p>
            <w:pPr>
              <w:jc w:val="right"/>
              <w:ind w:right="20"/>
              <w:spacing w:after="0" w:line="106" w:lineRule="exact"/>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color w:val="auto"/>
              </w:rPr>
              <w:t xml:space="preserve">Net interest-earning assets </w:t>
            </w:r>
            <w:r>
              <w:rPr>
                <w:rFonts w:ascii="Times New Roman" w:cs="Times New Roman" w:eastAsia="Times New Roman" w:hAnsi="Times New Roman"/>
                <w:sz w:val="14"/>
                <w:szCs w:val="14"/>
                <w:color w:val="auto"/>
                <w:vertAlign w:val="superscript"/>
              </w:rPr>
              <w:t>(7)</w:t>
            </w:r>
          </w:p>
        </w:tc>
        <w:tc>
          <w:tcPr>
            <w:tcW w:w="204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720,609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4"/>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642,225</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vMerge w:val="restart"/>
          </w:tcPr>
          <w:p>
            <w:pPr>
              <w:spacing w:after="0" w:line="126"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4"/>
                <w:szCs w:val="14"/>
                <w:color w:val="auto"/>
                <w:vertAlign w:val="superscript"/>
              </w:rPr>
              <w:t>(8)</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gridSpan w:val="3"/>
            <w:vMerge w:val="restart"/>
          </w:tcPr>
          <w:p>
            <w:pPr>
              <w:jc w:val="right"/>
              <w:spacing w:after="0" w:line="126" w:lineRule="exact"/>
              <w:rPr>
                <w:sz w:val="20"/>
                <w:szCs w:val="20"/>
                <w:color w:val="auto"/>
              </w:rPr>
            </w:pPr>
            <w:r>
              <w:rPr>
                <w:rFonts w:ascii="Times New Roman" w:cs="Times New Roman" w:eastAsia="Times New Roman" w:hAnsi="Times New Roman"/>
                <w:sz w:val="13"/>
                <w:szCs w:val="13"/>
                <w:color w:val="auto"/>
              </w:rPr>
              <w:t>3.61%</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gridSpan w:val="2"/>
            <w:vMerge w:val="restart"/>
          </w:tcPr>
          <w:p>
            <w:pPr>
              <w:jc w:val="right"/>
              <w:ind w:right="20"/>
              <w:spacing w:after="0" w:line="126" w:lineRule="exact"/>
              <w:rPr>
                <w:sz w:val="20"/>
                <w:szCs w:val="20"/>
                <w:color w:val="auto"/>
              </w:rPr>
            </w:pPr>
            <w:r>
              <w:rPr>
                <w:rFonts w:ascii="Times New Roman" w:cs="Times New Roman" w:eastAsia="Times New Roman" w:hAnsi="Times New Roman"/>
                <w:sz w:val="13"/>
                <w:szCs w:val="13"/>
                <w:color w:val="auto"/>
              </w:rPr>
              <w:t>2.98%</w:t>
            </w:r>
          </w:p>
        </w:tc>
        <w:tc>
          <w:tcPr>
            <w:tcW w:w="0" w:type="dxa"/>
            <w:vAlign w:val="bottom"/>
          </w:tcPr>
          <w:p>
            <w:pPr>
              <w:spacing w:after="0" w:line="20" w:lineRule="exact"/>
              <w:rPr>
                <w:sz w:val="1"/>
                <w:szCs w:val="1"/>
                <w:color w:val="auto"/>
              </w:rPr>
            </w:pPr>
          </w:p>
        </w:tc>
      </w:tr>
      <w:tr>
        <w:trPr>
          <w:trHeight w:val="86"/>
        </w:trPr>
        <w:tc>
          <w:tcPr>
            <w:tcW w:w="20" w:type="dxa"/>
            <w:vAlign w:val="bottom"/>
          </w:tcPr>
          <w:p>
            <w:pPr>
              <w:spacing w:after="0"/>
              <w:rPr>
                <w:sz w:val="7"/>
                <w:szCs w:val="7"/>
                <w:color w:val="auto"/>
              </w:rPr>
            </w:pPr>
          </w:p>
        </w:tc>
        <w:tc>
          <w:tcPr>
            <w:tcW w:w="3940" w:type="dxa"/>
            <w:vAlign w:val="bottom"/>
            <w:gridSpan w:val="2"/>
            <w:vMerge w:val="continue"/>
          </w:tcPr>
          <w:p>
            <w:pPr>
              <w:spacing w:after="0"/>
              <w:rPr>
                <w:sz w:val="7"/>
                <w:szCs w:val="7"/>
                <w:color w:val="auto"/>
              </w:rPr>
            </w:pPr>
          </w:p>
        </w:tc>
        <w:tc>
          <w:tcPr>
            <w:tcW w:w="2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Average interest-earning assets to</w:t>
            </w: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gridSpan w:val="2"/>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interest-bearing liabilities</w:t>
            </w:r>
          </w:p>
        </w:tc>
        <w:tc>
          <w:tcPr>
            <w:tcW w:w="2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120" w:type="dxa"/>
            <w:vAlign w:val="bottom"/>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129.42%</w:t>
            </w: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80" w:type="dxa"/>
            <w:vAlign w:val="bottom"/>
            <w:gridSpan w:val="4"/>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126.98%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-2379980</wp:posOffset>
            </wp:positionV>
            <wp:extent cx="7149465" cy="825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825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-1681480</wp:posOffset>
            </wp:positionV>
            <wp:extent cx="7149465" cy="825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825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-247015</wp:posOffset>
            </wp:positionV>
            <wp:extent cx="7149465" cy="825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8255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-2132330</wp:posOffset>
            </wp:positionV>
            <wp:extent cx="6731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-2132330</wp:posOffset>
            </wp:positionV>
            <wp:extent cx="6731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-2132330</wp:posOffset>
            </wp:positionV>
            <wp:extent cx="6731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-2132330</wp:posOffset>
            </wp:positionV>
            <wp:extent cx="6731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-1959610</wp:posOffset>
            </wp:positionV>
            <wp:extent cx="6731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-1959610</wp:posOffset>
            </wp:positionV>
            <wp:extent cx="6731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-1433830</wp:posOffset>
            </wp:positionV>
            <wp:extent cx="6731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-1433830</wp:posOffset>
            </wp:positionV>
            <wp:extent cx="6731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-1433830</wp:posOffset>
            </wp:positionV>
            <wp:extent cx="6731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-1433830</wp:posOffset>
            </wp:positionV>
            <wp:extent cx="6731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-1261110</wp:posOffset>
            </wp:positionV>
            <wp:extent cx="6731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-1261110</wp:posOffset>
            </wp:positionV>
            <wp:extent cx="6731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-1261110</wp:posOffset>
            </wp:positionV>
            <wp:extent cx="6731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-1261110</wp:posOffset>
            </wp:positionV>
            <wp:extent cx="6731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-923290</wp:posOffset>
            </wp:positionV>
            <wp:extent cx="6731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-923290</wp:posOffset>
            </wp:positionV>
            <wp:extent cx="6731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-923290</wp:posOffset>
            </wp:positionV>
            <wp:extent cx="6731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-923290</wp:posOffset>
            </wp:positionV>
            <wp:extent cx="6731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-570230</wp:posOffset>
            </wp:positionV>
            <wp:extent cx="6731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-554990</wp:posOffset>
            </wp:positionV>
            <wp:extent cx="6731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-554990</wp:posOffset>
            </wp:positionV>
            <wp:extent cx="6731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-570230</wp:posOffset>
            </wp:positionV>
            <wp:extent cx="6731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-554990</wp:posOffset>
            </wp:positionV>
            <wp:extent cx="6731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6334760</wp:posOffset>
            </wp:positionH>
            <wp:positionV relativeFrom="paragraph">
              <wp:posOffset>-554990</wp:posOffset>
            </wp:positionV>
            <wp:extent cx="6731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4314825</wp:posOffset>
            </wp:positionH>
            <wp:positionV relativeFrom="paragraph">
              <wp:posOffset>-360045</wp:posOffset>
            </wp:positionV>
            <wp:extent cx="6731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-360045</wp:posOffset>
            </wp:positionV>
            <wp:extent cx="6731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714946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16"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Annualized where appropriate.</w:t>
      </w:r>
    </w:p>
    <w:p>
      <w:pPr>
        <w:spacing w:after="0" w:line="23"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Loans include loans and mortgage loans held for sale, at fair value.</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Securities include available-for-sale securities and held-to-maturity securities.</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Includes FHLBNY demand account, FHLBNY stock dividends and FRBNY demand deposits.</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For the three months ended March 31, 2025, advance payments by borrowers for taxes and insurance in the amounts of $12.4 million, were reclassified to savings.</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rate spread represents the difference between the weighted average yield on interest-earning assets and the weighted average rate of interest-bearing liabilities.</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interest-earning assets represent total interest-earning assets less total interest-bearing liabilities.</w:t>
      </w:r>
    </w:p>
    <w:p>
      <w:pPr>
        <w:spacing w:after="0" w:line="16" w:lineRule="exact"/>
        <w:rPr>
          <w:rFonts w:ascii="Times New Roman" w:cs="Times New Roman" w:eastAsia="Times New Roman" w:hAnsi="Times New Roman"/>
          <w:sz w:val="13"/>
          <w:szCs w:val="13"/>
          <w:color w:val="auto"/>
        </w:rPr>
      </w:pPr>
    </w:p>
    <w:p>
      <w:pPr>
        <w:ind w:left="740" w:hanging="370"/>
        <w:spacing w:after="0"/>
        <w:tabs>
          <w:tab w:leader="none" w:pos="7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Net interest margin represents net interest income divided by average total interest-earning assets.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color w:val="auto"/>
        </w:rPr>
        <w:t>Ponce Financial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gridSpan w:val="2"/>
          </w:tcPr>
          <w:p>
            <w:pPr>
              <w:jc w:val="right"/>
              <w:ind w:right="360"/>
              <w:spacing w:after="0" w:line="100"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20" w:type="dxa"/>
            <w:vAlign w:val="bottom"/>
            <w:gridSpan w:val="2"/>
          </w:tcPr>
          <w:p>
            <w:pPr>
              <w:jc w:val="right"/>
              <w:ind w:right="500"/>
              <w:spacing w:after="0" w:line="100"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8"/>
                <w:szCs w:val="8"/>
                <w:color w:val="auto"/>
              </w:rPr>
            </w:pPr>
          </w:p>
        </w:tc>
        <w:tc>
          <w:tcPr>
            <w:tcW w:w="1020" w:type="dxa"/>
            <w:vAlign w:val="bottom"/>
            <w:gridSpan w:val="2"/>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September 30,</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ind w:left="100"/>
              <w:spacing w:after="0" w:line="100" w:lineRule="exact"/>
              <w:rPr>
                <w:sz w:val="20"/>
                <w:szCs w:val="20"/>
                <w:color w:val="auto"/>
              </w:rPr>
            </w:pPr>
            <w:r>
              <w:rPr>
                <w:rFonts w:ascii="Times New Roman" w:cs="Times New Roman" w:eastAsia="Times New Roman" w:hAnsi="Times New Roman"/>
                <w:sz w:val="11"/>
                <w:szCs w:val="11"/>
                <w:b w:val="1"/>
                <w:bCs w:val="1"/>
                <w:color w:val="auto"/>
              </w:rPr>
              <w:t>June 30,</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center"/>
              <w:ind w:right="80"/>
              <w:spacing w:after="0" w:line="100"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6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Other Data</w:t>
            </w:r>
          </w:p>
        </w:tc>
        <w:tc>
          <w:tcPr>
            <w:tcW w:w="13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Times New Roman" w:cs="Times New Roman" w:eastAsia="Times New Roman" w:hAnsi="Times New Roman"/>
                <w:sz w:val="13"/>
                <w:szCs w:val="13"/>
                <w:color w:val="auto"/>
              </w:rPr>
              <w:t>Common shares issued</w:t>
            </w: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24,886,711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24,886,711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24,886,711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24,886,711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24,886,711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FF0FC"/>
          </w:tcPr>
          <w:p>
            <w:pPr>
              <w:spacing w:after="0" w:line="130" w:lineRule="exact"/>
              <w:rPr>
                <w:sz w:val="20"/>
                <w:szCs w:val="20"/>
                <w:color w:val="auto"/>
              </w:rPr>
            </w:pPr>
            <w:r>
              <w:rPr>
                <w:rFonts w:ascii="Times New Roman" w:cs="Times New Roman" w:eastAsia="Times New Roman" w:hAnsi="Times New Roman"/>
                <w:sz w:val="13"/>
                <w:szCs w:val="13"/>
                <w:color w:val="auto"/>
              </w:rPr>
              <w:t>Less treasury shares</w:t>
            </w:r>
          </w:p>
        </w:tc>
        <w:tc>
          <w:tcPr>
            <w:tcW w:w="1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698,810</w:t>
            </w: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2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750,785</w:t>
            </w:r>
          </w:p>
        </w:tc>
        <w:tc>
          <w:tcPr>
            <w:tcW w:w="100" w:type="dxa"/>
            <w:vAlign w:val="bottom"/>
            <w:shd w:val="clear" w:color="auto" w:fill="CFF0FC"/>
          </w:tcPr>
          <w:p>
            <w:pPr>
              <w:spacing w:after="0"/>
              <w:rPr>
                <w:sz w:val="11"/>
                <w:szCs w:val="11"/>
                <w:color w:val="auto"/>
              </w:rPr>
            </w:pPr>
          </w:p>
        </w:tc>
        <w:tc>
          <w:tcPr>
            <w:tcW w:w="102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885,586</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40" w:type="dxa"/>
            <w:vAlign w:val="bottom"/>
            <w:gridSpan w:val="2"/>
            <w:shd w:val="clear" w:color="auto" w:fill="CFF0FC"/>
          </w:tcPr>
          <w:p>
            <w:pPr>
              <w:jc w:val="right"/>
              <w:ind w:right="100"/>
              <w:spacing w:after="0" w:line="130" w:lineRule="exact"/>
              <w:rPr>
                <w:sz w:val="20"/>
                <w:szCs w:val="20"/>
                <w:color w:val="auto"/>
              </w:rPr>
            </w:pPr>
            <w:r>
              <w:rPr>
                <w:rFonts w:ascii="Times New Roman" w:cs="Times New Roman" w:eastAsia="Times New Roman" w:hAnsi="Times New Roman"/>
                <w:sz w:val="13"/>
                <w:szCs w:val="13"/>
                <w:color w:val="auto"/>
              </w:rPr>
              <w:t>901,911</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20"/>
              <w:spacing w:after="0" w:line="130" w:lineRule="exact"/>
              <w:rPr>
                <w:sz w:val="20"/>
                <w:szCs w:val="20"/>
                <w:color w:val="auto"/>
              </w:rPr>
            </w:pPr>
            <w:r>
              <w:rPr>
                <w:rFonts w:ascii="Times New Roman" w:cs="Times New Roman" w:eastAsia="Times New Roman" w:hAnsi="Times New Roman"/>
                <w:sz w:val="13"/>
                <w:szCs w:val="13"/>
                <w:color w:val="auto"/>
              </w:rPr>
              <w:t>920,520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58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Common shares outstanding at end of period</w:t>
            </w:r>
          </w:p>
        </w:tc>
        <w:tc>
          <w:tcPr>
            <w:tcW w:w="13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24,187,901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24,135,926</w:t>
            </w: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24,001,125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23,984,800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color w:val="auto"/>
              </w:rPr>
              <w:t>23,966,191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vMerge w:val="restart"/>
          </w:tcPr>
          <w:p>
            <w:pPr>
              <w:spacing w:after="0"/>
              <w:rPr>
                <w:sz w:val="9"/>
                <w:szCs w:val="9"/>
                <w:color w:val="auto"/>
              </w:rPr>
            </w:pPr>
          </w:p>
        </w:tc>
        <w:tc>
          <w:tcPr>
            <w:tcW w:w="356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vMerge w:val="continue"/>
          </w:tcPr>
          <w:p>
            <w:pPr>
              <w:spacing w:after="0"/>
              <w:rPr>
                <w:sz w:val="9"/>
                <w:szCs w:val="9"/>
                <w:color w:val="auto"/>
              </w:rPr>
            </w:pPr>
          </w:p>
        </w:tc>
        <w:tc>
          <w:tcPr>
            <w:tcW w:w="3560" w:type="dxa"/>
            <w:vAlign w:val="bottom"/>
          </w:tcPr>
          <w:p>
            <w:pPr>
              <w:spacing w:after="0" w:line="107" w:lineRule="exact"/>
              <w:rPr>
                <w:sz w:val="20"/>
                <w:szCs w:val="20"/>
                <w:color w:val="auto"/>
              </w:rPr>
            </w:pPr>
            <w:r>
              <w:rPr>
                <w:rFonts w:ascii="Times New Roman" w:cs="Times New Roman" w:eastAsia="Times New Roman" w:hAnsi="Times New Roman"/>
                <w:sz w:val="12"/>
                <w:szCs w:val="12"/>
                <w:color w:val="auto"/>
              </w:rPr>
              <w:t>Book value per common share</w:t>
            </w:r>
          </w:p>
        </w:tc>
        <w:tc>
          <w:tcPr>
            <w:tcW w:w="1480" w:type="dxa"/>
            <w:vAlign w:val="bottom"/>
            <w:gridSpan w:val="2"/>
          </w:tcPr>
          <w:p>
            <w:pPr>
              <w:jc w:val="right"/>
              <w:ind w:right="80"/>
              <w:spacing w:after="0" w:line="107"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2"/>
                <w:szCs w:val="12"/>
                <w:color w:val="auto"/>
              </w:rPr>
              <w:t>13.49</w:t>
            </w:r>
          </w:p>
        </w:tc>
        <w:tc>
          <w:tcPr>
            <w:tcW w:w="28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color w:val="auto"/>
              </w:rPr>
              <w:t>$</w:t>
            </w:r>
          </w:p>
        </w:tc>
        <w:tc>
          <w:tcPr>
            <w:tcW w:w="1320" w:type="dxa"/>
            <w:vAlign w:val="bottom"/>
            <w:gridSpan w:val="2"/>
          </w:tcPr>
          <w:p>
            <w:pPr>
              <w:jc w:val="right"/>
              <w:ind w:right="240"/>
              <w:spacing w:after="0" w:line="107" w:lineRule="exact"/>
              <w:rPr>
                <w:sz w:val="20"/>
                <w:szCs w:val="20"/>
                <w:color w:val="auto"/>
              </w:rPr>
            </w:pPr>
            <w:r>
              <w:rPr>
                <w:rFonts w:ascii="Times New Roman" w:cs="Times New Roman" w:eastAsia="Times New Roman" w:hAnsi="Times New Roman"/>
                <w:sz w:val="12"/>
                <w:szCs w:val="12"/>
                <w:color w:val="auto"/>
              </w:rPr>
              <w:t>13.12</w:t>
            </w:r>
          </w:p>
        </w:tc>
        <w:tc>
          <w:tcPr>
            <w:tcW w:w="10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color w:val="auto"/>
              </w:rPr>
              <w:t>12.70</w:t>
            </w:r>
          </w:p>
        </w:tc>
        <w:tc>
          <w:tcPr>
            <w:tcW w:w="28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color w:val="auto"/>
              </w:rPr>
              <w:t>12.34</w:t>
            </w:r>
          </w:p>
        </w:tc>
        <w:tc>
          <w:tcPr>
            <w:tcW w:w="260" w:type="dxa"/>
            <w:vAlign w:val="bottom"/>
            <w:gridSpan w:val="2"/>
          </w:tcPr>
          <w:p>
            <w:pPr>
              <w:jc w:val="right"/>
              <w:ind w:right="100"/>
              <w:spacing w:after="0" w:line="107" w:lineRule="exact"/>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2"/>
                <w:szCs w:val="12"/>
                <w:color w:val="auto"/>
              </w:rPr>
              <w:t>12.05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60" w:type="dxa"/>
            <w:vAlign w:val="bottom"/>
          </w:tcPr>
          <w:p>
            <w:pPr>
              <w:spacing w:after="0" w:line="154" w:lineRule="exact"/>
              <w:rPr>
                <w:sz w:val="20"/>
                <w:szCs w:val="20"/>
                <w:color w:val="auto"/>
              </w:rPr>
            </w:pPr>
            <w:r>
              <w:rPr>
                <w:rFonts w:ascii="Times New Roman" w:cs="Times New Roman" w:eastAsia="Times New Roman" w:hAnsi="Times New Roman"/>
                <w:sz w:val="13"/>
                <w:szCs w:val="13"/>
                <w:color w:val="auto"/>
              </w:rPr>
              <w:t xml:space="preserve">Tangible book value per common share </w:t>
            </w:r>
            <w:r>
              <w:rPr>
                <w:rFonts w:ascii="Times New Roman" w:cs="Times New Roman" w:eastAsia="Times New Roman" w:hAnsi="Times New Roman"/>
                <w:sz w:val="16"/>
                <w:szCs w:val="16"/>
                <w:color w:val="auto"/>
                <w:vertAlign w:val="superscript"/>
              </w:rPr>
              <w:t>(1)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13.49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13.12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12.70</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12.34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-81915</wp:posOffset>
            </wp:positionV>
            <wp:extent cx="7149465" cy="825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8255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-360045</wp:posOffset>
            </wp:positionV>
            <wp:extent cx="749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-360045</wp:posOffset>
            </wp:positionV>
            <wp:extent cx="7493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-360045</wp:posOffset>
            </wp:positionV>
            <wp:extent cx="6731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6282055</wp:posOffset>
            </wp:positionH>
            <wp:positionV relativeFrom="paragraph">
              <wp:posOffset>-360045</wp:posOffset>
            </wp:positionV>
            <wp:extent cx="6731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-360045</wp:posOffset>
            </wp:positionV>
            <wp:extent cx="6731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10" cy="7620"/>
                    </a:xfrm>
                    <a:prstGeom prst="rect">
                      <a:avLst/>
                    </a:prstGeom>
                    <a:noFill/>
                  </pic:spPr>
                </pic:pic>
              </a:graphicData>
            </a:graphic>
          </wp:anchor>
        </w:drawing>
      </w:r>
    </w:p>
    <w:p>
      <w:pPr>
        <w:spacing w:after="0" w:line="221" w:lineRule="exact"/>
        <w:rPr>
          <w:sz w:val="20"/>
          <w:szCs w:val="20"/>
          <w:color w:val="auto"/>
        </w:rPr>
      </w:pPr>
    </w:p>
    <w:p>
      <w:pPr>
        <w:jc w:val="both"/>
        <w:ind w:left="740" w:hanging="370"/>
        <w:spacing w:after="0" w:line="250" w:lineRule="auto"/>
        <w:tabs>
          <w:tab w:leader="none" w:pos="74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5"/>
          <w:szCs w:val="15"/>
          <w:color w:val="auto"/>
        </w:rPr>
        <w:t>Tangible book value per common share is a non-GAAP financial measure and is calculated by dividing tangible common equity by common shares outstanding. Tangible common equity is defined as total shareholders’ equity less goodwill and other intangible assets, net of applicable deferred taxes. The Company believes that tangible book value per common share is a useful measure for investors, regulators, and analysts because it reflects the Company’s capital position excluding the impact of goodwill and other intangible assets, which may not be realizable in a liquidation scenario. This measure is commonly used in the banking industry to assess financial condition and capital adequacy. Tangible book value per common share should not be considered a substitute for book value per common share, which is calculated in accordance with GAAP, and the Company’s definition of tangible book value per common share may differ from similarly titled measures used by other companies. During the periods presented, the Company did not make any adjustments for goodwill and other intangible assets, so tangible book value per common share is equal to the book value per common share as calculated in accordance with GAAP.</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421640</wp:posOffset>
            </wp:positionV>
            <wp:extent cx="717486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2026-04-24T06:39:10Z</dcterms:created>
  <dcterms:modified xsi:type="dcterms:W3CDTF">2026-04-24T06:39:10Z</dcterms:modified>
</cp:coreProperties>
</file>