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Ponce Financial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001-41255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87-1893965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2244 Westchester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Bronx,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10462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(718) 931-9000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PDLB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Ponce Financial Group, Inc. (NASDAQ: PDLB), the holding company for Ponce Bank, held its annual stockholder meeting on June 11, 2026 (the “Annual Meeting”). The business conducted at the Annual Meeting consisted of (a) the election of three directors for a term expiring in 2029, (b) the ratification of the appointment of Forvis Mazars, LLP as independent registered public accounting firm for the year ending December 31, 2026 and (c) approval, on an advisory and non-binding basis, of the compensation of the named executive officers. The following is a summary of the voting results for each matter presented to the stockholders:</w:t>
      </w:r>
    </w:p>
    <w:p>
      <w:pPr>
        <w:spacing w:after="0" w:line="75"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I – Election of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9"/>
        </w:trPr>
        <w:tc>
          <w:tcPr>
            <w:tcW w:w="6280" w:type="dxa"/>
            <w:vAlign w:val="bottom"/>
          </w:tcPr>
          <w:p>
            <w:pPr>
              <w:spacing w:after="0"/>
              <w:rPr>
                <w:sz w:val="22"/>
                <w:szCs w:val="22"/>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spacing w:after="0"/>
              <w:rPr>
                <w:sz w:val="22"/>
                <w:szCs w:val="22"/>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0" w:type="dxa"/>
            <w:vAlign w:val="bottom"/>
          </w:tcPr>
          <w:p>
            <w:pPr>
              <w:spacing w:after="0"/>
              <w:rPr>
                <w:sz w:val="22"/>
                <w:szCs w:val="22"/>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Non-Vote</w:t>
            </w:r>
          </w:p>
        </w:tc>
        <w:tc>
          <w:tcPr>
            <w:tcW w:w="100" w:type="dxa"/>
            <w:vAlign w:val="bottom"/>
          </w:tcPr>
          <w:p>
            <w:pPr>
              <w:spacing w:after="0"/>
              <w:rPr>
                <w:sz w:val="22"/>
                <w:szCs w:val="22"/>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A. Tsavaris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14,732,162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2,582,284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2,590,590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James Perez</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13,829,594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3,484,852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2,590,590</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Marlene Cintron</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16,825,753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488,693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2,590,590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foregoing Proposal I, each nominee was elected to the Board of Directors of Ponce Financial Group, Inc.</w:t>
      </w:r>
    </w:p>
    <w:p>
      <w:pPr>
        <w:spacing w:after="0" w:line="225" w:lineRule="exact"/>
        <w:rPr>
          <w:sz w:val="20"/>
          <w:szCs w:val="20"/>
          <w:color w:val="auto"/>
        </w:rPr>
      </w:pPr>
    </w:p>
    <w:p>
      <w:pPr>
        <w:ind w:right="40" w:firstLine="233"/>
        <w:spacing w:after="0" w:line="282" w:lineRule="auto"/>
        <w:tabs>
          <w:tab w:leader="none" w:pos="5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II – Ratification of the appointment of Forvis Mazars, LLP as Ponce Financial Group, Inc.’s independent registered public accounting firm for the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For</w:t>
            </w:r>
          </w:p>
        </w:tc>
        <w:tc>
          <w:tcPr>
            <w:tcW w:w="480" w:type="dxa"/>
            <w:vAlign w:val="bottom"/>
          </w:tcPr>
          <w:p>
            <w:pPr>
              <w:spacing w:after="0"/>
              <w:rPr>
                <w:sz w:val="22"/>
                <w:szCs w:val="22"/>
                <w:color w:val="auto"/>
              </w:rPr>
            </w:pPr>
          </w:p>
        </w:tc>
        <w:tc>
          <w:tcPr>
            <w:tcW w:w="34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40" w:type="dxa"/>
            <w:vAlign w:val="bottom"/>
          </w:tcPr>
          <w:p>
            <w:pPr>
              <w:spacing w:after="0"/>
              <w:rPr>
                <w:sz w:val="22"/>
                <w:szCs w:val="22"/>
                <w:color w:val="auto"/>
              </w:rPr>
            </w:pPr>
          </w:p>
        </w:tc>
        <w:tc>
          <w:tcPr>
            <w:tcW w:w="34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2"/>
                <w:szCs w:val="22"/>
                <w:color w:val="auto"/>
              </w:rPr>
            </w:pPr>
          </w:p>
        </w:tc>
      </w:tr>
      <w:tr>
        <w:trPr>
          <w:trHeight w:val="216"/>
        </w:trPr>
        <w:tc>
          <w:tcPr>
            <w:tcW w:w="39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19,264,595</w:t>
            </w:r>
          </w:p>
        </w:tc>
        <w:tc>
          <w:tcPr>
            <w:tcW w:w="38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176,733</w:t>
            </w:r>
          </w:p>
        </w:tc>
        <w:tc>
          <w:tcPr>
            <w:tcW w:w="3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463,708</w:t>
            </w:r>
          </w:p>
        </w:tc>
      </w:tr>
      <w:tr>
        <w:trPr>
          <w:trHeight w:val="4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were no broker non-votes.</w:t>
            </w: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Proposal II was approved.</w:t>
            </w:r>
          </w:p>
        </w:tc>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Proposal III – Approval, on an advisory and non-binding basis, of the compensation of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9"/>
        </w:trPr>
        <w:tc>
          <w:tcPr>
            <w:tcW w:w="25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2"/>
                <w:szCs w:val="22"/>
                <w:color w:val="auto"/>
              </w:rPr>
            </w:pPr>
          </w:p>
        </w:tc>
        <w:tc>
          <w:tcPr>
            <w:tcW w:w="25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0" w:type="dxa"/>
            <w:vAlign w:val="bottom"/>
          </w:tcPr>
          <w:p>
            <w:pPr>
              <w:spacing w:after="0"/>
              <w:rPr>
                <w:sz w:val="22"/>
                <w:szCs w:val="22"/>
                <w:color w:val="auto"/>
              </w:rPr>
            </w:pPr>
          </w:p>
        </w:tc>
        <w:tc>
          <w:tcPr>
            <w:tcW w:w="2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60" w:type="dxa"/>
            <w:vAlign w:val="bottom"/>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w:t>
            </w:r>
          </w:p>
        </w:tc>
        <w:tc>
          <w:tcPr>
            <w:tcW w:w="100" w:type="dxa"/>
            <w:vAlign w:val="bottom"/>
          </w:tcPr>
          <w:p>
            <w:pPr>
              <w:spacing w:after="0"/>
              <w:rPr>
                <w:sz w:val="22"/>
                <w:szCs w:val="22"/>
                <w:color w:val="auto"/>
              </w:rPr>
            </w:pPr>
          </w:p>
        </w:tc>
      </w:tr>
      <w:tr>
        <w:trPr>
          <w:trHeight w:val="216"/>
        </w:trPr>
        <w:tc>
          <w:tcPr>
            <w:tcW w:w="2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11,067,224</w:t>
            </w:r>
          </w:p>
        </w:tc>
        <w:tc>
          <w:tcPr>
            <w:tcW w:w="2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5,852,807</w:t>
            </w:r>
          </w:p>
        </w:tc>
        <w:tc>
          <w:tcPr>
            <w:tcW w:w="2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394,415</w:t>
            </w:r>
          </w:p>
        </w:tc>
        <w:tc>
          <w:tcPr>
            <w:tcW w:w="2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2,590,590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Proposal III was approved on a non-binding advisory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Carlos P. Naudon, President and Chief Executive Officer of Ponce Financial Group, Inc., delivered remarks to the stockholders, which are furnished herewith as Exhibit 99.1.</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8.01 and in the attached Exhibit 99.1 is deemed to be “furnished” and shall not be deemed to be “filed” for purposes of Section 18 of the Securities Exchange Act of 1934, as amended (the “Exchange Act”), or otherwise subject to the liabilities of that Section.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80" w:type="dxa"/>
            <w:vAlign w:val="bottom"/>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1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Remarks of Carlos P. Naudon at Annual Meeting</w:t>
            </w: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540" w:type="dxa"/>
            <w:vAlign w:val="bottom"/>
            <w:tcBorders>
              <w:right w:val="single" w:sz="8" w:color="0000EE"/>
            </w:tcBorders>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37"/>
        </w:trPr>
        <w:tc>
          <w:tcPr>
            <w:tcW w:w="11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r>
      <w:tr>
        <w:trPr>
          <w:trHeight w:val="979"/>
        </w:trPr>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Ponce Financial Group,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12, 2026</w:t>
      </w:r>
      <w:r>
        <w:rPr>
          <w:sz w:val="20"/>
          <w:szCs w:val="20"/>
          <w:color w:val="auto"/>
        </w:rPr>
        <w:tab/>
      </w:r>
      <w:r>
        <w:rPr>
          <w:rFonts w:ascii="Times New Roman" w:cs="Times New Roman" w:eastAsia="Times New Roman" w:hAnsi="Times New Roman"/>
          <w:sz w:val="18"/>
          <w:szCs w:val="18"/>
          <w:color w:val="auto"/>
        </w:rPr>
        <w:t>By:</w:t>
        <w:tab/>
        <w:t>/s/ Carlos P. Naudon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Carlos P. Naudon</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7"/>
          <w:szCs w:val="27"/>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REMARKS OF CARLOS P. NAUDON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PONCE FINANCIAL GROUP, INC. AND PONCE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2026 ANNUAL SHAREHOLDERS’ MEETING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PONCE FINANCIAL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SHAREHOLDERS,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YEAR, PONCE FINANCIAL GROUP (PFG) HAS REACHED AN IMPORTANT MOMENT IN OUR JOURNEY. AFTER YEARS OF STEADY PROGRESS, WE ARE HITTING OUR STRIDE—AS AN INSTITUTION, AS A COMMUNITY PARTNER, AND AS A MISSION-DRIVEN BANK COMMITTED TO IMPACTFUL ECONOMIC DEVELOPMENT.THIS YEAR, PONCE BANK ACHIEVED A 1% RETURN ON AVERAGE ASSETS.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ANY BANK, A 1% ROA REPRESENTS A KEY BENCHMARK OF PERFORMANCE AND OPERATIONAL DISCIPLINE. FOR US, IT CARRIES ADDITIONAL SIGNIFICANCE. IT DEMONSTRATES THAT WE CAN DELIVER STRONG FINANCIAL RESULTS WHILE REMAINING FULLY COMMITTED TO THE COMMUNITIES AND CUSTOMERS WHO RELY ON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 IS NOTED AND APPLAUDED.</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S&amp;P GLOBAL RANKED US THE 40TH BEST PERFORMING BANK IN THE COUNTRY AMONG THE $3-10 BILLION ASSET SIZED BANKS FOR 2025.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RESULTS AT PONCE FINANCIAL GROUP (PFG) ALSO REFLECT STRONG PERFORMANCE AND DISCIPLINED EXECUTION. BASIC EARNINGS PER SHARE FOR 2025 REACHED $1.21, COMPARED TO $0.46 IN 2024 AND $0.15 IN 2023.</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SAME PERIOD, PFG'S TOTAL REVENUES, INCLUDING NET INTEREST INCOME AND NON-INTEREST INCOME—GREW 45% FROM 2023, WHILE EXPENSES INCREASED JUST 1%.</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PFG MAINTAINED TOTAL CAPITAL TO RISK-WEIGHTED ASSETS OF 24% (23.72%) AND AN EFFICIENCY RATIO OF 61%, REFLECTING STRONG OPERATIONAL DISCIPLINE.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EXPANDED OUR FOOTPRINT WITH THE OPENING OF OUR NEWEST BRANCH IN INWOOD NEIGHBORHOOD OF MANHATTAN, MARKING AN IMPORTANT MILESTONE IN OUR CONTINUED GROWTH AND COMMITMENT TO SERVING OUR CLIENTS MORE EFFECTIVELY.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EXPANSION REFLECTS OUR DEDICATION TO STRENGTHENING OUR PRESENCE IN UNDERSERVED COMMUNITIES WHILE PROVIDING ENHANCED ACCESSIBILITY AND SUPPORT TO OUR VALUED CUSTOMERS. WE LOOK FORWARD TO BECOMING AN ACTIVE PART OF THE INWOOD COMMUNITY AND DELIVERING THE HIGH STANDARD OF SERVICE YOU HAVE COME TO EXPECT FROM US. I SHOULD ALSO NOTE THAT YESTERDAY OUR MIDWOOD BRANCH OFFICIALLY BECAME A BANKING DEVELOPMENT DISTRICT … AND THE RECIPIENT OF $50 MILLION DEPOSIT BETWEEN NY STATE AND NY CITY. WE HAVE POSTED MAYOR MANDANI’S ELOQUENT REMARKS ABOUT PONCE’S ROLE IN UNDERSERVED COMMUNITIES.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OUR PONCE BANK DIRECT DIGITAL SERVICE CONTINUED TO DEMONSTRATE STRONG MOMENTUM, GROWING DEPOSITS BY APPROXIMATELY $20 MILLION TO $55 MILLION.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GROWTH REFLECTS BOTH THE APPEAL OF OUR DIGITAL-FIRST BANKING PLATFORM AND OUR ONGOING COMMITMENT TO PROVIDING ACCESSIBLE, MISSION-DRIVEN BANKING SOLUTIONS TO A BROADER CUSTOMER BASE. THE SUCCESS OF PONCE BANK DIRECT COMPLEMENTS OUR COMMUNITY-FOCUSED BRANCH NETWORK, EXPANDING OUR REACH WHILE MAINTAINING THE SAME HIGH STANDARDS OF SERVICE AND FINANCIAL DISCIPLINE.</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ADVANCING KEY TECHNOLOGICAL INITIATIVES, INCLUDING A NEW WEBSITE LAUNCHING IN EARLY Q2 2026 AND ENHANCEMENTS TO OUR ONLINE BANKING PLATFORM MID-2026. ADDITIONALLY, WE IMPLEMENTED “BUILT,” AN AI-POWERED PLATFORM THAT FUNDS, DEVELOPS, BUILDS, AND MANAGES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CONSTRUCTION LENDING ON A SINGLE SYSTEM, POSITIONING PONCE BANK TO CONTINUE CONSTRUCTION LENDING GROWTH WHILE MAINTAINING DISCIPLINED RISK MANAGEMENT.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PROGRESS IS THE RESULT OF INTENTIONAL AND STRATEGIC INVESTMENTS, ALONG WITH THE DEDICATION OF OUR STAFF, WHOSE COMMITMENT TO SERVICE AND COMMUNITY IS AT THE HEART OF EVERYTHING WE DO.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BROUGHT TO LIFE EVERY DAY BY OUR STAFF, WHO REMAIN OUR GREATEST STRENGTH.</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WE MADE MEANINGFUL INVESTMENTS IN TALENT DEVELOPMENT AND ORGANIZATIONAL GROWTH. 30 NEW ROLES, 20 OF WHICH WERE FILLED INTERNALLY, DEMONSTRATING OUR COMMITMENT TO DEVELOPING AND PROMOTING FROM WITHIN.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SUPPORT CONTINUED EXPANSION, WE ALSO WELCOMED 50 NEW EMPLOYEES, INCLUDING 4 REHIRES, REPRESENTING A 32% INCREASE IN HIRING COMPARED TO 2024. YET, YEAR-OVER-YEAR OUR EXPENSES GREW BY ONLY 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158"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PONCE BANK EMPLOYED 216 FULL-TIME EQUIVALENT EMPLOYEES.</w:t>
      </w:r>
    </w:p>
    <w:p>
      <w:pPr>
        <w:spacing w:after="0" w:line="157" w:lineRule="exact"/>
        <w:rPr>
          <w:rFonts w:ascii="Times New Roman" w:cs="Times New Roman" w:eastAsia="Times New Roman" w:hAnsi="Times New Roman"/>
          <w:sz w:val="18"/>
          <w:szCs w:val="18"/>
          <w:color w:val="auto"/>
        </w:rPr>
      </w:pPr>
    </w:p>
    <w:p>
      <w:pPr>
        <w:ind w:firstLine="8"/>
        <w:spacing w:after="0" w:line="282" w:lineRule="auto"/>
        <w:tabs>
          <w:tab w:leader="none" w:pos="1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CORPORATE OFFICER POSITIONS, 50% OF SENIOR MANAGEMENT (SVP AND ABOVE), AND 29% OF OUR BOARD OF DIRECTORS WERE HELD BY WOMEN, REFLECTING BOTH STRENGTH AND DIVERSITY.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THE DAILY WORK, OUR STAFF CONTRIBUTED TO DOZENS OF VOLUNTEER EVENTS AND COMMUNITY INITIATIVES, SUPPORTING LOCAL SCHOOLS, NEIGHBORHOOD IMPROVEMENT PROJECTS, AND SOCIAL PROGRAMS. THESE EFFORTS AMPLIFIED THE IMPACT OF PONCE BANK IN THE COMMUNITIES WHERE OUR CUSTOMERS AND COLLEAGUES LIVE AND WORK.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PROUD OF THE TEAM AND CULTURE WE ARE BUILDING, IN FACT, EMPLOYEE SATISFACTION SCORES INCREASED BY 8.82%, AND THE PERCENTAGE OF EMPLOYEES LIKELY TO RECOMMEND PONCE AS A GREAT PLACE TO WORK ROSE BY 18.3%, AS MEASURED BY AN INDEPENDENT THIRD-PARTY ENGAGEMENT SURVEY.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SAME TIME, WE REMAIN FIRMLY COMMITTED TO OUR MISSION, PARTICULARLY DURING A PERIOD OF ECONOMIC UNCERTAINTY AND RISING CHALLENGES FOR MANY FAMILIES AND SMALL BUSINESSES.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MOST PRESSING ISSUES IN OUR COMMUNITIES CONTINUES TO BE AFFORDABLE HOUSING. THROUGH OUR LENDING AND PARTNERSHIPS, WE REMAIN FOCUSED ON SUPPORTING THE DEVELOPMENT AND PRESERVATION OF AFFORDABLE HOUSING OPPORTUNITIES. OUR INVESTMENTS IN MISSION-DRIVEN DEPOSITS AND COMMUNITY LENDING HAVE DIRECTLY SUPPORTED THESE INITIATIVES, HELPING FAMILIES SECURE STABLE HOUSING AND STRENGTHENING NEIGHBORHOODS FOR LONG-TERM GROWTH.</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WORK REFLECTS THE REMARKABLE DIVERSITY AND ENTREPRENEURIAL ENERGY OF THE COMMUNITIES WE SERVE. MANY OF OUR CUSTOMERS ARE IMMIGRANT ENTREPRENEURS AND FAMILIES WHOSE DETERMINATION AND RESILIENCE DRIVE ECONOMIC ACTIVITY IN OUR MARKETS. THEIR EFFORTS — OFTEN SUPPORTED BY STRONG COMMUNITY NETWORKS — CREATE JOBS, BUILD BUSINESSES, AND CONTRIBUTE TO LONG-TERM NEIGHBORHOOD STABILITY. OUR FINANCIAL MASTERY PROGRAMS, INCLUDING LOCAL BOOTCAMPS AND EDUCATIONAL SCHOLARSHIPS, FURTHER EQUIP INDIVIDUALS WITH THE TOOLS AND KNOWLEDGE TO GROW BUSINESSES, PLAN, AND INVEST IN THEIR COMMUNITIES. FOR MANY OF THESE ENTREPRENEURS, SUCCESS IS ABOUT MORE THAN BUILDING A BUSINESS. IT IS ABOUT CREATING OPPORTUNITIES FOR THE NEXT GENERATION— ENSURING THEIR CHILDREN HAVE STRONGER FOUNDATIONS AND EXPANDED POSSIBILITIES.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 NOTED EARLIER, PONCE BANK WAS RANKED #40 AMONG THE TOP 50 BEST-PERFORMING U.S. COMMUNITY BANKS OF 2025 (FOR INSTITUTIONS WITH $3B–$10B IN ASSETS) BY S&amp;P GLOBAL MARKET INTELLIGENCE.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RECOGNITION UNDERSCORES A YEAR OF STRONG PERFORMANCE, DISCIPLINED EXECUTION, AND MEANINGFUL IMPACT ON THE COMMUNITIES WE SERVE. WE BELIEVE IT IS BOTH POSSIBLE AND NECESSARY TO DO WELL WHILE DOING GOOD. FINANCIAL STRENGTH ENABLES US TO EXPAND OUR IMPACT, WHILE OUR MISSION GUIDES WHERE AND HOW WE INVEST THAT STRENGTH.</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VOLUNTEER INITIATIVES, SCHOLARSHIPS, MISSION-DRIVEN DEPOSITS, COMMUNITY INVESTMENTS, AND FINANCIAL EMPOWERMENT PROGRAMS, WE CONTINUE TO CREATE MEANINGFUL OPPORTUNITIES AND STRENGTHEN THE COMMUNITIES WE SERVE.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AS WE LOOK AHEAD, OUR FOCUS IS ON PREPARING THE BANK FOR ITS NEXT PHASE OF GROWTH AND TO MEET THE CHALLENGES OF THE ECONOMIC AND POLITICAL UNCERTAINTIES WE FACE. THAT MEANS CONTINUING TO DEPLOY CAPITAL THOUGHTFULLY WHILE STRENGTHENING THE INFRASTRUCTURE THAT WILL ALLOW US TO SCALE RESPONSIBLY. WE WILL CONTINUE TO INVEST IN OUR PEOPLE, PROCESSES, AND TECHNOLOGY, ENHANCING INTERNAL SYSTEMS, IMPROVING OPERATIONAL EFFICIENCY, AND MODERNIZING THE DIGITAL PLATFORMS THAT SUPPORT BOTH OUR BANKERS AND OUR CUSTOMERS. WITH A SOLID FOUNDATION, A CLEAR MISSION, AND A TALENTED TEAM, PONCE BANK IS WELL POSITIONED TO CONTINUE GROWING RESPONSIBLY WHILE EXPANDING THE OPPORTUNITIES WE HELP CREATE.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WE'VE ENTERED AN ECIP PURCHASE OPTION AGREEMENT WITH THE US DEPARTMENT OF THE TREASURY, ALLOWING REPURCHASE AS SOON AS 3Q 2026, ASSUMING SATISFACTION OF THE NECESSARY CONDITIONS. WHILE THERE'S NO ASSURANCE AS TO SATISFACTION OF THESE CONDITIONS OR THE FINAL PRICE, IF THE REPURCHASE TRANSACTION IS CONSUMMATED, WE EXPECT THAT IT WILL INCREASE OUR BOOK VALUE PER SHARE. THIS OPPORTUNITY REFLECTS OUR CONTINUED COMMITMENT TO STRENGTHENING SHAREHOLDER VALUE WHILE ADVANCING OUR MISSION TO SUPPORT THE COMMUNITIES WE SERVE.</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THE PATH FORWARD PRESENTS CHALLENGES—INCLUDING ECONOMIC UNCERTAINTY, PERSISTENT HOUSING SHORTAGES, AND EVOLVING COMMUNITY NEEDS—WE REMAIN CONFIDENT THAT OUR MODEL—COMBINING DISCIPLINED BANKING WITH A DEEP COMMITMENT TO COMMUNITY DEVELOPMENT—POSITIONS US WELL FOR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BANKERS, CUSTOMERS, COMMUNITY PARTNERS, AND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THE TRUST YOU PLACE IN US.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WE ARE BUILDING SOMETHING MEANINGFUL—AN INSTITUTION THAT SUPPORTS BOTH FINANCIAL SUCCESS AND STRONGER COMMUNITIES.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GIVING ME THE OPPORTUNITY TO ADDRESS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2026-06-12T10:28:17Z</dcterms:created>
  <dcterms:modified xsi:type="dcterms:W3CDTF">2026-06-12T10:28:17Z</dcterms:modified>
</cp:coreProperties>
</file>