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pdlb-20260630.htm"/>
        <w:bookmarkStart w:id="1" w:name="kspdlb20260630"/>
        <w:bookmarkEnd w:id="0"/>
        <w:bookmarkEnd w:id="1"/>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pBdr>
          <w:top w:val="double" w:sz="4"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t> </w:t>
      </w:r>
    </w:p>
    <w:tbl>
      <w:tblPr>
        <w:tblW w:w="9017" w:type="dxa"/>
        <w:jc w:val="left"/>
        <w:tblInd w:w="0" w:type="dxa"/>
        <w:tblLayout w:type="fixed"/>
        <w:tblCellMar>
          <w:top w:w="28" w:type="dxa"/>
          <w:left w:w="28" w:type="dxa"/>
          <w:bottom w:w="28" w:type="dxa"/>
          <w:right w:w="28" w:type="dxa"/>
        </w:tblCellMar>
      </w:tblPr>
      <w:tblGrid>
        <w:gridCol w:w="331"/>
        <w:gridCol w:w="8686"/>
      </w:tblGrid>
      <w:tr>
        <w:trPr/>
        <w:tc>
          <w:tcPr>
            <w:tcW w:w="331" w:type="dxa"/>
            <w:tcBorders/>
            <w:vAlign w:val="center"/>
          </w:tcPr>
          <w:p>
            <w:pPr>
              <w:pStyle w:val="TableContents"/>
              <w:bidi w:val="0"/>
              <w:spacing w:before="0" w:after="283"/>
              <w:jc w:val="left"/>
              <w:rPr>
                <w:sz w:val="4"/>
                <w:szCs w:val="4"/>
              </w:rPr>
            </w:pPr>
            <w:r>
              <w:rPr>
                <w:sz w:val="4"/>
                <w:szCs w:val="4"/>
              </w:rPr>
            </w:r>
          </w:p>
        </w:tc>
        <w:tc>
          <w:tcPr>
            <w:tcW w:w="86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9002" w:type="dxa"/>
        <w:jc w:val="left"/>
        <w:tblInd w:w="0" w:type="dxa"/>
        <w:tblLayout w:type="fixed"/>
        <w:tblCellMar>
          <w:top w:w="28" w:type="dxa"/>
          <w:left w:w="28" w:type="dxa"/>
          <w:bottom w:w="28" w:type="dxa"/>
          <w:right w:w="28" w:type="dxa"/>
        </w:tblCellMar>
      </w:tblPr>
      <w:tblGrid>
        <w:gridCol w:w="331"/>
        <w:gridCol w:w="8671"/>
      </w:tblGrid>
      <w:tr>
        <w:trPr/>
        <w:tc>
          <w:tcPr>
            <w:tcW w:w="331"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001-41255</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Ponce Financial Group,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87-1893965</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292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2244 Westchester Avenue</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Bronx, NY</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10462</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Registrant’s telephone number, including area code: (718) 931-9000</w:t>
      </w:r>
    </w:p>
    <w:p>
      <w:pPr>
        <w:pStyle w:val="TextBody"/>
        <w:pBdr>
          <w:bottom w:val="single" w:sz="4" w:space="1" w:color="000000"/>
        </w:pBdr>
        <w:bidi w:val="0"/>
        <w:spacing w:before="40" w:after="100"/>
        <w:jc w:val="center"/>
        <w:rPr/>
      </w:pPr>
      <w:r>
        <w:rPr/>
        <w:t> </w:t>
      </w:r>
    </w:p>
    <w:p>
      <w:pPr>
        <w:pStyle w:val="TextBody"/>
        <w:bidi w:val="0"/>
        <w:jc w:val="both"/>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p>
      <w:pPr>
        <w:pStyle w:val="TextBody"/>
        <w:bidi w:val="0"/>
        <w:jc w:val="both"/>
        <w:rPr/>
      </w:pPr>
      <w:r>
        <w:rPr/>
        <w:t> </w:t>
      </w:r>
    </w:p>
    <w:tbl>
      <w:tblPr>
        <w:tblW w:w="7510" w:type="dxa"/>
        <w:jc w:val="left"/>
        <w:tblInd w:w="0" w:type="dxa"/>
        <w:tblLayout w:type="fixed"/>
        <w:tblCellMar>
          <w:top w:w="28" w:type="dxa"/>
          <w:left w:w="28" w:type="dxa"/>
          <w:bottom w:w="28" w:type="dxa"/>
          <w:right w:w="28" w:type="dxa"/>
        </w:tblCellMar>
      </w:tblPr>
      <w:tblGrid>
        <w:gridCol w:w="3076"/>
        <w:gridCol w:w="146"/>
        <w:gridCol w:w="826"/>
        <w:gridCol w:w="146"/>
        <w:gridCol w:w="3316"/>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PDLB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100" w:after="283"/>
        <w:jc w:val="both"/>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00" w:after="283"/>
        <w:jc w:val="both"/>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00" w:after="283"/>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227" w:type="dxa"/>
        <w:jc w:val="left"/>
        <w:tblInd w:w="0" w:type="dxa"/>
        <w:tblLayout w:type="fixed"/>
        <w:tblCellMar>
          <w:top w:w="28" w:type="dxa"/>
          <w:left w:w="28" w:type="dxa"/>
          <w:bottom w:w="28" w:type="dxa"/>
          <w:right w:w="28" w:type="dxa"/>
        </w:tblCellMar>
      </w:tblPr>
      <w:tblGrid>
        <w:gridCol w:w="2041"/>
        <w:gridCol w:w="146"/>
        <w:gridCol w:w="37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00" w:after="283"/>
        <w:jc w:val="both"/>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00" w:after="283"/>
        <w:jc w:val="both"/>
        <w:rPr>
          <w:rFonts w:ascii="Times New Roman" w:hAnsi="Times New Roman"/>
          <w:sz w:val="20"/>
        </w:rPr>
      </w:pPr>
      <w:r>
        <w:rPr>
          <w:rFonts w:ascii="Times New Roman" w:hAnsi="Times New Roman"/>
          <w:color w:val="000000"/>
          <w:sz w:val="16"/>
        </w:rPr>
        <w:t>As of August 4, 2026, the registrant had 24,187,901</w:t>
      </w:r>
      <w:r>
        <w:rPr>
          <w:rFonts w:ascii="Times New Roman" w:hAnsi="Times New Roman"/>
          <w:color w:val="000000"/>
          <w:sz w:val="20"/>
        </w:rPr>
        <w:t xml:space="preserve"> </w:t>
      </w:r>
      <w:r>
        <w:rPr>
          <w:rFonts w:ascii="Times New Roman" w:hAnsi="Times New Roman"/>
          <w:color w:val="000000"/>
          <w:sz w:val="16"/>
        </w:rPr>
        <w:t>shares of common stock, $0.01 par value per share,</w:t>
      </w:r>
      <w:r>
        <w:rPr>
          <w:rFonts w:ascii="Times New Roman" w:hAnsi="Times New Roman"/>
          <w:color w:val="000000"/>
          <w:sz w:val="20"/>
        </w:rPr>
        <w:t xml:space="preserve"> </w:t>
      </w:r>
      <w:r>
        <w:rPr>
          <w:rFonts w:ascii="Times New Roman" w:hAnsi="Times New Roman"/>
          <w:color w:val="000000"/>
          <w:sz w:val="16"/>
        </w:rPr>
        <w:t>outstanding.</w:t>
      </w:r>
    </w:p>
    <w:p>
      <w:pPr>
        <w:pStyle w:val="TextBody"/>
        <w:bidi w:val="0"/>
        <w:spacing w:before="100" w:after="283"/>
        <w:jc w:val="both"/>
        <w:rPr/>
      </w:pPr>
      <w:r>
        <w:rPr/>
        <w:t> </w:t>
      </w:r>
    </w:p>
    <w:p>
      <w:pPr>
        <w:pStyle w:val="TextBody"/>
        <w:pBdr>
          <w:bottom w:val="double" w:sz="6" w:space="1" w:color="000000"/>
        </w:pBdr>
        <w:bidi w:val="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tbl>
      <w:tblPr>
        <w:tblW w:w="9055" w:type="dxa"/>
        <w:jc w:val="left"/>
        <w:tblInd w:w="0" w:type="dxa"/>
        <w:tblLayout w:type="fixed"/>
        <w:tblCellMar>
          <w:top w:w="28" w:type="dxa"/>
          <w:left w:w="28" w:type="dxa"/>
          <w:bottom w:w="28" w:type="dxa"/>
          <w:right w:w="28" w:type="dxa"/>
        </w:tblCellMar>
      </w:tblPr>
      <w:tblGrid>
        <w:gridCol w:w="886"/>
        <w:gridCol w:w="146"/>
        <w:gridCol w:w="7366"/>
        <w:gridCol w:w="14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statements_financial_condit">
              <w:r>
                <w:rPr>
                  <w:rStyle w:val="InternetLink"/>
                  <w:rFonts w:ascii="Times New Roman" w:hAnsi="Times New Roman"/>
                  <w:color w:val="0000FF"/>
                  <w:sz w:val="20"/>
                  <w:u w:val="single"/>
                </w:rPr>
                <w:t>Consolidated Statements of Financial Condition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statements_income_unaudited">
              <w:r>
                <w:rPr>
                  <w:rStyle w:val="InternetLink"/>
                  <w:rFonts w:ascii="Times New Roman" w:hAnsi="Times New Roman"/>
                  <w:color w:val="0000FF"/>
                  <w:sz w:val="20"/>
                  <w:u w:val="single"/>
                </w:rPr>
                <w:t>Consolidated Statements of Operations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statements_comprehensive_in">
              <w:r>
                <w:rPr>
                  <w:rStyle w:val="InternetLink"/>
                  <w:rFonts w:ascii="Times New Roman" w:hAnsi="Times New Roman"/>
                  <w:color w:val="0000FF"/>
                  <w:sz w:val="20"/>
                  <w:u w:val="single"/>
                </w:rPr>
                <w:t>Consolidated Statements of Comprehensive Income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statements_stockholders_equ">
              <w:r>
                <w:rPr>
                  <w:rStyle w:val="InternetLink"/>
                  <w:rFonts w:ascii="Times New Roman" w:hAnsi="Times New Roman"/>
                  <w:color w:val="0000FF"/>
                  <w:sz w:val="20"/>
                  <w:u w:val="single"/>
                </w:rPr>
                <w:t>Consolidated Statements of Stockholders’ Equity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_unaud">
              <w:r>
                <w:rPr>
                  <w:rStyle w:val="InternetLink"/>
                  <w:rFonts w:ascii="Times New Roman" w:hAnsi="Times New Roman"/>
                  <w:color w:val="0000FF"/>
                  <w:sz w:val="20"/>
                  <w:u w:val="single"/>
                </w:rPr>
                <w:t>Consolidated Statements of Cash Flows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note_1_nature_business_summary_significa">
              <w:r>
                <w:rPr>
                  <w:rStyle w:val="InternetLink"/>
                  <w:rFonts w:ascii="Times New Roman" w:hAnsi="Times New Roman"/>
                  <w:color w:val="0000FF"/>
                  <w:sz w:val="20"/>
                  <w:u w:val="single"/>
                </w:rPr>
                <w:t>Notes to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8398"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part_ifinancial_information"/>
      <w:bookmarkEnd w:id="3"/>
      <w:r>
        <w:rPr>
          <w:rFonts w:ascii="Times New Roman" w:hAnsi="Times New Roman"/>
          <w:b/>
          <w:color w:val="000000"/>
          <w:sz w:val="20"/>
        </w:rPr>
        <w:t>PART I—FINANCIAL INFORMATION</w:t>
      </w:r>
    </w:p>
    <w:p>
      <w:pPr>
        <w:pStyle w:val="TextBody"/>
        <w:bidi w:val="0"/>
        <w:spacing w:before="240" w:after="283"/>
        <w:jc w:val="both"/>
        <w:rPr>
          <w:rFonts w:ascii="Times New Roman" w:hAnsi="Times New Roman"/>
          <w:b/>
          <w:color w:val="000000"/>
          <w:sz w:val="20"/>
        </w:rPr>
      </w:pPr>
      <w:bookmarkStart w:id="4" w:name="item_1_financial_statements"/>
      <w:bookmarkEnd w:id="4"/>
      <w:r>
        <w:rPr>
          <w:rFonts w:ascii="Times New Roman" w:hAnsi="Times New Roman"/>
          <w:b/>
          <w:color w:val="000000"/>
          <w:sz w:val="20"/>
        </w:rPr>
        <w:t>Item 1. Consolidated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Ponce Financial Group, Inc. and Subsidiaries</w:t>
      </w:r>
    </w:p>
    <w:p>
      <w:pPr>
        <w:pStyle w:val="TextBody"/>
        <w:bidi w:val="0"/>
        <w:jc w:val="center"/>
        <w:rPr/>
      </w:pPr>
      <w:r>
        <w:rPr/>
        <w:t> </w:t>
      </w:r>
    </w:p>
    <w:p>
      <w:pPr>
        <w:pStyle w:val="TextBody"/>
        <w:bidi w:val="0"/>
        <w:jc w:val="center"/>
        <w:rPr>
          <w:rFonts w:ascii="Times New Roman" w:hAnsi="Times New Roman"/>
          <w:sz w:val="20"/>
        </w:rPr>
      </w:pPr>
      <w:bookmarkStart w:id="5" w:name="consolidated_statements_financial_condit"/>
      <w:bookmarkEnd w:id="5"/>
      <w:r>
        <w:rPr>
          <w:rFonts w:ascii="Times New Roman" w:hAnsi="Times New Roman"/>
          <w:b/>
          <w:color w:val="000000"/>
          <w:sz w:val="20"/>
        </w:rPr>
        <w:t>Consolidated Statements</w:t>
      </w:r>
      <w:r>
        <w:rPr>
          <w:rFonts w:ascii="Times New Roman" w:hAnsi="Times New Roman"/>
          <w:color w:val="000000"/>
          <w:sz w:val="20"/>
        </w:rPr>
        <w:t xml:space="preserve"> </w:t>
      </w:r>
      <w:r>
        <w:rPr>
          <w:rFonts w:ascii="Times New Roman" w:hAnsi="Times New Roman"/>
          <w:b/>
          <w:color w:val="000000"/>
          <w:sz w:val="20"/>
        </w:rPr>
        <w:t>of Financial Condition (Unaudited)</w:t>
      </w:r>
    </w:p>
    <w:p>
      <w:pPr>
        <w:pStyle w:val="TextBody"/>
        <w:bidi w:val="0"/>
        <w:jc w:val="center"/>
        <w:rPr>
          <w:rFonts w:ascii="Times New Roman" w:hAnsi="Times New Roman"/>
          <w:b/>
          <w:color w:val="000000"/>
          <w:sz w:val="20"/>
        </w:rPr>
      </w:pPr>
      <w:r>
        <w:rPr>
          <w:rFonts w:ascii="Times New Roman" w:hAnsi="Times New Roman"/>
          <w:b/>
          <w:color w:val="000000"/>
          <w:sz w:val="20"/>
        </w:rPr>
        <w:t>June 30, 2026 and December 31, 2025</w:t>
      </w:r>
    </w:p>
    <w:p>
      <w:pPr>
        <w:pStyle w:val="TextBody"/>
        <w:bidi w:val="0"/>
        <w:jc w:val="center"/>
        <w:rPr>
          <w:rFonts w:ascii="Times New Roman" w:hAnsi="Times New Roman"/>
          <w:b/>
          <w:color w:val="000000"/>
          <w:sz w:val="20"/>
        </w:rPr>
      </w:pPr>
      <w:r>
        <w:rPr>
          <w:rFonts w:ascii="Times New Roman" w:hAnsi="Times New Roman"/>
          <w:b/>
          <w:color w:val="000000"/>
          <w:sz w:val="20"/>
        </w:rPr>
        <w:t>(Dollars in thousands, except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868"/>
        <w:gridCol w:w="146"/>
        <w:gridCol w:w="196"/>
        <w:gridCol w:w="826"/>
        <w:gridCol w:w="166"/>
        <w:gridCol w:w="146"/>
        <w:gridCol w:w="200"/>
        <w:gridCol w:w="845"/>
        <w:gridCol w:w="812"/>
      </w:tblGrid>
      <w:tr>
        <w:trPr/>
        <w:tc>
          <w:tcPr>
            <w:tcW w:w="6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due from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28,511</w:t>
            </w:r>
          </w:p>
        </w:tc>
        <w:tc>
          <w:tcPr>
            <w:tcW w:w="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Interest-bearing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114,443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97,643</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126,154</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Available-for-sale securities, at fair value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92,196</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Held-to-maturity securities, net of allowance for credit losses of $210</w:t>
            </w:r>
            <w:r>
              <w:rPr>
                <w:rFonts w:ascii="Times New Roman" w:hAnsi="Times New Roman"/>
                <w:color w:val="000000"/>
                <w:sz w:val="20"/>
              </w:rPr>
              <w:t> </w:t>
            </w:r>
            <w:r>
              <w:rPr>
                <w:rFonts w:ascii="Times New Roman" w:hAnsi="Times New Roman"/>
                <w:color w:val="000000"/>
                <w:sz w:val="16"/>
              </w:rPr>
              <w:t>at June 30, 2026 and $236</w:t>
            </w:r>
            <w:r>
              <w:rPr>
                <w:rFonts w:ascii="Times New Roman" w:hAnsi="Times New Roman"/>
                <w:color w:val="000000"/>
                <w:sz w:val="20"/>
              </w:rPr>
              <w:t> </w:t>
            </w:r>
            <w:r>
              <w:rPr>
                <w:rFonts w:ascii="Times New Roman" w:hAnsi="Times New Roman"/>
                <w:color w:val="000000"/>
                <w:sz w:val="16"/>
              </w:rPr>
              <w:t>at December 31, 2025; at amortized cost (fair value of $246,965</w:t>
            </w:r>
            <w:r>
              <w:rPr>
                <w:rFonts w:ascii="Times New Roman" w:hAnsi="Times New Roman"/>
                <w:color w:val="000000"/>
                <w:sz w:val="20"/>
              </w:rPr>
              <w:t> </w:t>
            </w:r>
            <w:r>
              <w:rPr>
                <w:rFonts w:ascii="Times New Roman" w:hAnsi="Times New Roman"/>
                <w:color w:val="000000"/>
                <w:sz w:val="16"/>
              </w:rPr>
              <w:t>at June 30, 2026 and $268,875</w:t>
            </w:r>
            <w:r>
              <w:rPr>
                <w:rFonts w:ascii="Times New Roman" w:hAnsi="Times New Roman"/>
                <w:color w:val="000000"/>
                <w:sz w:val="20"/>
              </w:rPr>
              <w:t> </w:t>
            </w:r>
            <w:r>
              <w:rPr>
                <w:rFonts w:ascii="Times New Roman" w:hAnsi="Times New Roman"/>
                <w:color w:val="000000"/>
                <w:sz w:val="16"/>
              </w:rPr>
              <w:t>at December 31. 2025) (Note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272,982</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Placement with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Mortgage loans held for sale, at fair value (Note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3,388</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Loans receivable, net of allowance for credit losses of $27,554</w:t>
            </w:r>
            <w:r>
              <w:rPr>
                <w:rFonts w:ascii="Times New Roman" w:hAnsi="Times New Roman"/>
                <w:color w:val="000000"/>
                <w:sz w:val="20"/>
              </w:rPr>
              <w:t> </w:t>
            </w:r>
            <w:r>
              <w:rPr>
                <w:rFonts w:ascii="Times New Roman" w:hAnsi="Times New Roman"/>
                <w:color w:val="000000"/>
                <w:sz w:val="16"/>
              </w:rPr>
              <w:t>at June 30, 2026 and $25,449</w:t>
            </w:r>
            <w:r>
              <w:rPr>
                <w:rFonts w:ascii="Times New Roman" w:hAnsi="Times New Roman"/>
                <w:color w:val="000000"/>
                <w:sz w:val="20"/>
              </w:rPr>
              <w:t> </w:t>
            </w:r>
            <w:r>
              <w:rPr>
                <w:rFonts w:ascii="Times New Roman" w:hAnsi="Times New Roman"/>
                <w:color w:val="000000"/>
                <w:sz w:val="16"/>
              </w:rPr>
              <w:t>at December 31, 2025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2,879,740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2,599,258</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17,905</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Premises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15,638</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 of use assets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27,583</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Federal Home Loan Bank of New York (FHLBNY) stock,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29,309</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Federal Reserve Bank of New York (FRBNY) stock,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10,698</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11,501</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17,109</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3,494,711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3,223,970</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Deposits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2,271,809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2,046,635</w:t>
            </w:r>
          </w:p>
        </w:tc>
        <w:tc>
          <w:tcPr>
            <w:tcW w:w="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Borrowings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596,100</w:t>
            </w:r>
          </w:p>
        </w:tc>
        <w:tc>
          <w:tcPr>
            <w:tcW w:w="8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29,353</w:t>
            </w:r>
          </w:p>
        </w:tc>
        <w:tc>
          <w:tcPr>
            <w:tcW w:w="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3,788</w:t>
            </w:r>
          </w:p>
        </w:tc>
        <w:tc>
          <w:tcPr>
            <w:tcW w:w="8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6,545</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2,933,741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2,682,421</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Commitments and contingencies</w:t>
            </w:r>
            <w:r>
              <w:rPr>
                <w:rFonts w:ascii="Times New Roman" w:hAnsi="Times New Roman"/>
                <w:color w:val="000000"/>
                <w:sz w:val="20"/>
              </w:rPr>
              <w:t> </w:t>
            </w:r>
            <w:r>
              <w:rPr>
                <w:rFonts w:ascii="Times New Roman" w:hAnsi="Times New Roman"/>
                <w:color w:val="000000"/>
                <w:sz w:val="16"/>
              </w:rPr>
              <w:t>(Note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Preferred stock, $0.01</w:t>
            </w:r>
            <w:r>
              <w:rPr>
                <w:rFonts w:ascii="Times New Roman" w:hAnsi="Times New Roman"/>
                <w:color w:val="000000"/>
                <w:sz w:val="20"/>
              </w:rPr>
              <w:t> </w:t>
            </w:r>
            <w:r>
              <w:rPr>
                <w:rFonts w:ascii="Times New Roman" w:hAnsi="Times New Roman"/>
                <w:color w:val="000000"/>
                <w:sz w:val="16"/>
              </w:rPr>
              <w:t>par value; 100,000,000</w:t>
            </w:r>
            <w:r>
              <w:rPr>
                <w:rFonts w:ascii="Times New Roman" w:hAnsi="Times New Roman"/>
                <w:color w:val="000000"/>
                <w:sz w:val="20"/>
              </w:rPr>
              <w:t> </w:t>
            </w:r>
            <w:r>
              <w:rPr>
                <w:rFonts w:ascii="Times New Roman" w:hAnsi="Times New Roman"/>
                <w:color w:val="000000"/>
                <w:sz w:val="16"/>
              </w:rPr>
              <w:t>shares authorized: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6"/>
              </w:rPr>
              <w:t>Series A, senior non-cumulative perpetual, $1,000</w:t>
            </w:r>
            <w:r>
              <w:rPr>
                <w:rFonts w:ascii="Times New Roman" w:hAnsi="Times New Roman"/>
                <w:color w:val="000000"/>
                <w:sz w:val="20"/>
              </w:rPr>
              <w:t> </w:t>
            </w:r>
            <w:r>
              <w:rPr>
                <w:rFonts w:ascii="Times New Roman" w:hAnsi="Times New Roman"/>
                <w:color w:val="000000"/>
                <w:sz w:val="16"/>
              </w:rPr>
              <w:t>per share liquidation preference, 225,000</w:t>
            </w:r>
            <w:r>
              <w:rPr>
                <w:rFonts w:ascii="Times New Roman" w:hAnsi="Times New Roman"/>
                <w:color w:val="000000"/>
                <w:sz w:val="20"/>
              </w:rPr>
              <w:t> </w:t>
            </w:r>
            <w:r>
              <w:rPr>
                <w:rFonts w:ascii="Times New Roman" w:hAnsi="Times New Roman"/>
                <w:color w:val="000000"/>
                <w:sz w:val="16"/>
              </w:rPr>
              <w:t>shares issued and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225,000</w:t>
            </w:r>
          </w:p>
        </w:tc>
        <w:tc>
          <w:tcPr>
            <w:tcW w:w="8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$0.01</w:t>
            </w:r>
            <w:r>
              <w:rPr>
                <w:rFonts w:ascii="Times New Roman" w:hAnsi="Times New Roman"/>
                <w:color w:val="000000"/>
                <w:sz w:val="20"/>
              </w:rPr>
              <w:t> </w:t>
            </w:r>
            <w:r>
              <w:rPr>
                <w:rFonts w:ascii="Times New Roman" w:hAnsi="Times New Roman"/>
                <w:color w:val="000000"/>
                <w:sz w:val="16"/>
              </w:rPr>
              <w:t>par value; 200,000,000</w:t>
            </w:r>
            <w:r>
              <w:rPr>
                <w:rFonts w:ascii="Times New Roman" w:hAnsi="Times New Roman"/>
                <w:color w:val="000000"/>
                <w:sz w:val="20"/>
              </w:rPr>
              <w:t> </w:t>
            </w:r>
            <w:r>
              <w:rPr>
                <w:rFonts w:ascii="Times New Roman" w:hAnsi="Times New Roman"/>
                <w:color w:val="000000"/>
                <w:sz w:val="16"/>
              </w:rPr>
              <w:t>shares authorized; 24,886,711</w:t>
            </w:r>
            <w:r>
              <w:rPr>
                <w:rFonts w:ascii="Times New Roman" w:hAnsi="Times New Roman"/>
                <w:color w:val="000000"/>
                <w:sz w:val="20"/>
              </w:rPr>
              <w:t> </w:t>
            </w:r>
            <w:r>
              <w:rPr>
                <w:rFonts w:ascii="Times New Roman" w:hAnsi="Times New Roman"/>
                <w:color w:val="000000"/>
                <w:sz w:val="16"/>
              </w:rPr>
              <w:t>shares issued at both June 30, 2026 and December 31, 2025; 24,187,901</w:t>
            </w:r>
            <w:r>
              <w:rPr>
                <w:rFonts w:ascii="Times New Roman" w:hAnsi="Times New Roman"/>
                <w:color w:val="000000"/>
                <w:sz w:val="20"/>
              </w:rPr>
              <w:t> </w:t>
            </w:r>
            <w:r>
              <w:rPr>
                <w:rFonts w:ascii="Times New Roman" w:hAnsi="Times New Roman"/>
                <w:color w:val="000000"/>
                <w:sz w:val="16"/>
              </w:rPr>
              <w:t>shares outstanding as of June 30, 2026 and 24,135,926</w:t>
            </w:r>
            <w:r>
              <w:rPr>
                <w:rFonts w:ascii="Times New Roman" w:hAnsi="Times New Roman"/>
                <w:color w:val="000000"/>
                <w:sz w:val="20"/>
              </w:rPr>
              <w:t> </w:t>
            </w:r>
            <w:r>
              <w:rPr>
                <w:rFonts w:ascii="Times New Roman" w:hAnsi="Times New Roman"/>
                <w:color w:val="000000"/>
                <w:sz w:val="16"/>
              </w:rPr>
              <w:t>shares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w:t>
            </w:r>
          </w:p>
        </w:tc>
        <w:tc>
          <w:tcPr>
            <w:tcW w:w="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Treasury stock, at cost; 698,810</w:t>
            </w:r>
            <w:r>
              <w:rPr>
                <w:rFonts w:ascii="Times New Roman" w:hAnsi="Times New Roman"/>
                <w:color w:val="000000"/>
                <w:sz w:val="20"/>
              </w:rPr>
              <w:t> </w:t>
            </w:r>
            <w:r>
              <w:rPr>
                <w:rFonts w:ascii="Times New Roman" w:hAnsi="Times New Roman"/>
                <w:color w:val="000000"/>
                <w:sz w:val="16"/>
              </w:rPr>
              <w:t>shares as of June 30, 2026 and 750,785</w:t>
            </w:r>
            <w:r>
              <w:rPr>
                <w:rFonts w:ascii="Times New Roman" w:hAnsi="Times New Roman"/>
                <w:color w:val="000000"/>
                <w:sz w:val="20"/>
              </w:rPr>
              <w:t> </w:t>
            </w:r>
            <w:r>
              <w:rPr>
                <w:rFonts w:ascii="Times New Roman" w:hAnsi="Times New Roman"/>
                <w:color w:val="000000"/>
                <w:sz w:val="16"/>
              </w:rPr>
              <w:t>shares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(6,164</w:t>
            </w:r>
          </w:p>
        </w:tc>
        <w:tc>
          <w:tcPr>
            <w:tcW w:w="8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208,604</w:t>
            </w:r>
          </w:p>
        </w:tc>
        <w:tc>
          <w:tcPr>
            <w:tcW w:w="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135,332</w:t>
            </w:r>
          </w:p>
        </w:tc>
        <w:tc>
          <w:tcPr>
            <w:tcW w:w="8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loss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(10,820</w:t>
            </w:r>
          </w:p>
        </w:tc>
        <w:tc>
          <w:tcPr>
            <w:tcW w:w="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Unearned compensation ─ ESOP; 1,101,372</w:t>
            </w:r>
            <w:r>
              <w:rPr>
                <w:rFonts w:ascii="Times New Roman" w:hAnsi="Times New Roman"/>
                <w:color w:val="000000"/>
                <w:sz w:val="20"/>
              </w:rPr>
              <w:t> </w:t>
            </w:r>
            <w:r>
              <w:rPr>
                <w:rFonts w:ascii="Times New Roman" w:hAnsi="Times New Roman"/>
                <w:color w:val="000000"/>
                <w:sz w:val="16"/>
              </w:rPr>
              <w:t>shares as of June 30, 2026 and 1,168,244</w:t>
              <w:br/>
              <w:t> shares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(10,652</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560,970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541,549</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3,494,711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3,223,970</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accompanying notes are an integral part of the consolidated financial statements (unaudited).</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Ponce Financial Group, Inc. and Subsidiaries</w:t>
      </w:r>
    </w:p>
    <w:p>
      <w:pPr>
        <w:pStyle w:val="TextBody"/>
        <w:bidi w:val="0"/>
        <w:jc w:val="center"/>
        <w:rPr/>
      </w:pPr>
      <w:r>
        <w:rPr/>
        <w:t> </w:t>
      </w:r>
    </w:p>
    <w:p>
      <w:pPr>
        <w:pStyle w:val="TextBody"/>
        <w:bidi w:val="0"/>
        <w:jc w:val="center"/>
        <w:rPr>
          <w:rFonts w:ascii="Times New Roman" w:hAnsi="Times New Roman"/>
          <w:sz w:val="20"/>
        </w:rPr>
      </w:pPr>
      <w:bookmarkStart w:id="6" w:name="consolidated_statements_income_unaudited"/>
      <w:bookmarkEnd w:id="6"/>
      <w:r>
        <w:rPr>
          <w:rFonts w:ascii="Times New Roman" w:hAnsi="Times New Roman"/>
          <w:b/>
          <w:color w:val="000000"/>
          <w:sz w:val="20"/>
        </w:rPr>
        <w:t>Consolidated Statements</w:t>
      </w:r>
      <w:r>
        <w:rPr>
          <w:rFonts w:ascii="Times New Roman" w:hAnsi="Times New Roman"/>
          <w:color w:val="000000"/>
          <w:sz w:val="20"/>
        </w:rPr>
        <w:t xml:space="preserve"> </w:t>
      </w:r>
      <w:r>
        <w:rPr>
          <w:rFonts w:ascii="Times New Roman" w:hAnsi="Times New Roman"/>
          <w:b/>
          <w:color w:val="000000"/>
          <w:sz w:val="20"/>
        </w:rPr>
        <w:t>of Operations (Unaudited)</w:t>
      </w:r>
    </w:p>
    <w:p>
      <w:pPr>
        <w:pStyle w:val="TextBody"/>
        <w:bidi w:val="0"/>
        <w:jc w:val="center"/>
        <w:rPr>
          <w:rFonts w:ascii="Times New Roman" w:hAnsi="Times New Roman"/>
          <w:sz w:val="20"/>
        </w:rPr>
      </w:pPr>
      <w:r>
        <w:rPr>
          <w:rFonts w:ascii="Times New Roman" w:hAnsi="Times New Roman"/>
          <w:b/>
          <w:color w:val="000000"/>
          <w:sz w:val="20"/>
        </w:rPr>
        <w:t>Three and Six Months Ended June 30, 2026 and 2025</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(Dollars in thousands, except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752"/>
        <w:gridCol w:w="146"/>
        <w:gridCol w:w="217"/>
        <w:gridCol w:w="1017"/>
        <w:gridCol w:w="161"/>
        <w:gridCol w:w="161"/>
        <w:gridCol w:w="217"/>
        <w:gridCol w:w="1017"/>
        <w:gridCol w:w="146"/>
        <w:gridCol w:w="146"/>
        <w:gridCol w:w="204"/>
        <w:gridCol w:w="957"/>
        <w:gridCol w:w="152"/>
        <w:gridCol w:w="152"/>
        <w:gridCol w:w="204"/>
        <w:gridCol w:w="957"/>
        <w:gridCol w:w="599"/>
      </w:tblGrid>
      <w:tr>
        <w:trPr/>
        <w:tc>
          <w:tcPr>
            <w:tcW w:w="3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For the Six Months Ended June 30,</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Interest on loans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46,835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90,817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77,427</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Interest on deposits due from banks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954</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1,724</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2,475</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Interest and dividend on securities and FHLBNY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3,863</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7,773</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9,955</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7"/>
              </w:rPr>
            </w:pPr>
            <w:r>
              <w:rPr>
                <w:rFonts w:ascii="Times New Roman" w:hAnsi="Times New Roman"/>
                <w:b/>
                <w:color w:val="000000"/>
                <w:sz w:val="17"/>
              </w:rPr>
              <w:t>Total 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51,652</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45,860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100,314</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89,857</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Interest on 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6,785</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13,200</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15,136</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Interest on other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9,544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18,174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17,612</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Interest on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5,262</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10,653</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10,480</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7"/>
              </w:rPr>
            </w:pPr>
            <w:r>
              <w:rPr>
                <w:rFonts w:ascii="Times New Roman" w:hAnsi="Times New Roman"/>
                <w:b/>
                <w:color w:val="000000"/>
                <w:sz w:val="17"/>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21,591</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21,434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42,027</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43,228</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7"/>
              </w:rPr>
            </w:pPr>
            <w:r>
              <w:rPr>
                <w:rFonts w:ascii="Times New Roman" w:hAnsi="Times New Roman"/>
                <w:b/>
                <w:color w:val="000000"/>
                <w:sz w:val="17"/>
              </w:rPr>
              <w:t>Net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30,061</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58,287</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46,629</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Provision for credit losses (Note 3)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2,148</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3,804</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1,341</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7"/>
              </w:rPr>
            </w:pPr>
            <w:r>
              <w:rPr>
                <w:rFonts w:ascii="Times New Roman" w:hAnsi="Times New Roman"/>
                <w:b/>
                <w:color w:val="000000"/>
                <w:sz w:val="17"/>
              </w:rPr>
              <w:t>Net interest income after provision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27,913</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54,483</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45,288</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Service charges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600</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1,139</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1,036</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Brokerage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Late and prepayment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864</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1,227</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Income on sale of 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317</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Income on sale of SBA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404</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Grant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428</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628</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1,285</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1,025</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7"/>
              </w:rPr>
            </w:pPr>
            <w:r>
              <w:rPr>
                <w:rFonts w:ascii="Times New Roman" w:hAnsi="Times New Roman"/>
                <w:b/>
                <w:color w:val="000000"/>
                <w:sz w:val="17"/>
              </w:rPr>
              <w:t>Total 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1,527</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3,569</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4,441</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9,070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17,733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15,407</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Occupancy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3,901</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7,573</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7,820</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Data processing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2,340</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Direct loan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308</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629</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Insurance and surety bond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612</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Office supplies, telephone and postage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345</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344</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2,816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2,731</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Marketing and promotional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190</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418</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349</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Federal deposit insurance and regulatory assessment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1,007</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1,230</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2,286</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2,518</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7"/>
              </w:rPr>
            </w:pPr>
            <w:r>
              <w:rPr>
                <w:rFonts w:ascii="Times New Roman" w:hAnsi="Times New Roman"/>
                <w:b/>
                <w:color w:val="000000"/>
                <w:sz w:val="17"/>
              </w:rPr>
              <w:t>Total non-interest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18,135</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16,869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35,375</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33,757</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7"/>
              </w:rPr>
            </w:pPr>
            <w:r>
              <w:rPr>
                <w:rFonts w:ascii="Times New Roman" w:hAnsi="Times New Roman"/>
                <w:b/>
                <w:color w:val="000000"/>
                <w:sz w:val="17"/>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11,305</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22,677</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15,972</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2,810</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5,559</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3,913</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7"/>
              </w:rPr>
            </w:pPr>
            <w:r>
              <w:rPr>
                <w:rFonts w:ascii="Times New Roman" w:hAnsi="Times New Roman"/>
                <w:b/>
                <w:color w:val="000000"/>
                <w:sz w:val="17"/>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8,495</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17,118</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12,059</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Dividends on preferred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282</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563</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563</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7"/>
              </w:rPr>
            </w:pPr>
            <w:r>
              <w:rPr>
                <w:rFonts w:ascii="Times New Roman" w:hAnsi="Times New Roman"/>
                <w:b/>
                <w:color w:val="000000"/>
                <w:sz w:val="17"/>
              </w:rPr>
              <w:t>Net income available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8,213</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16,555</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11,496</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Earnings per common share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0.36</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0.72</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0.51</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0.35</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0.71</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0.50</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Weighted average common shares outstanding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23,053,460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22,716,615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23,021,069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22,689,914</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23,508,153</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22,947,769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23,419,915</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22,920,841</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accompanying notes are an integral part of the consolidated financial statements (unaudited).</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Ponce Financial Group, Inc. and Subsidiaries</w:t>
      </w:r>
    </w:p>
    <w:p>
      <w:pPr>
        <w:pStyle w:val="TextBody"/>
        <w:bidi w:val="0"/>
        <w:spacing w:before="240" w:after="283"/>
        <w:jc w:val="center"/>
        <w:rPr>
          <w:rFonts w:ascii="Times New Roman" w:hAnsi="Times New Roman"/>
          <w:b/>
          <w:color w:val="000000"/>
          <w:sz w:val="20"/>
        </w:rPr>
      </w:pPr>
      <w:bookmarkStart w:id="7" w:name="consolidated_statements_comprehensive_in"/>
      <w:bookmarkEnd w:id="7"/>
      <w:r>
        <w:rPr>
          <w:rFonts w:ascii="Times New Roman" w:hAnsi="Times New Roman"/>
          <w:b/>
          <w:color w:val="000000"/>
          <w:sz w:val="20"/>
        </w:rPr>
        <w:t>Consolidated Statements of Comprehensive Income (Unaudited)</w:t>
      </w:r>
    </w:p>
    <w:p>
      <w:pPr>
        <w:pStyle w:val="TextBody"/>
        <w:bidi w:val="0"/>
        <w:jc w:val="center"/>
        <w:rPr>
          <w:rFonts w:ascii="Times New Roman" w:hAnsi="Times New Roman"/>
          <w:sz w:val="20"/>
        </w:rPr>
      </w:pPr>
      <w:r>
        <w:rPr>
          <w:rFonts w:ascii="Times New Roman" w:hAnsi="Times New Roman"/>
          <w:b/>
          <w:color w:val="000000"/>
          <w:sz w:val="20"/>
        </w:rPr>
        <w:t>Three and Six Months Ended June 30, 2026 and 2025</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926"/>
        <w:gridCol w:w="146"/>
        <w:gridCol w:w="241"/>
        <w:gridCol w:w="652"/>
        <w:gridCol w:w="189"/>
        <w:gridCol w:w="166"/>
        <w:gridCol w:w="241"/>
        <w:gridCol w:w="652"/>
        <w:gridCol w:w="166"/>
        <w:gridCol w:w="146"/>
        <w:gridCol w:w="211"/>
        <w:gridCol w:w="676"/>
        <w:gridCol w:w="166"/>
        <w:gridCol w:w="146"/>
        <w:gridCol w:w="211"/>
        <w:gridCol w:w="676"/>
        <w:gridCol w:w="594"/>
      </w:tblGrid>
      <w:tr>
        <w:trPr/>
        <w:tc>
          <w:tcPr>
            <w:tcW w:w="4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8,495</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12,059</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unrealized gain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Unrealized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(loss)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14,309</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Dividends on preferred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 available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8,195</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13,746</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notes are an integral part of the consolidated financial statements (unaudited).</w:t>
      </w:r>
    </w:p>
    <w:p>
      <w:pPr>
        <w:pStyle w:val="TextBody"/>
        <w:bidi w:val="0"/>
        <w:jc w:val="both"/>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Ponce Financial Group, Inc. and Subsidiaries</w:t>
      </w:r>
    </w:p>
    <w:p>
      <w:pPr>
        <w:pStyle w:val="TextBody"/>
        <w:bidi w:val="0"/>
        <w:spacing w:before="240" w:after="283"/>
        <w:jc w:val="center"/>
        <w:rPr>
          <w:rFonts w:ascii="Times New Roman" w:hAnsi="Times New Roman"/>
          <w:b/>
          <w:color w:val="000000"/>
          <w:sz w:val="16"/>
        </w:rPr>
      </w:pPr>
      <w:bookmarkStart w:id="8" w:name="consolidated_statements_stockholders_equ"/>
      <w:bookmarkEnd w:id="8"/>
      <w:r>
        <w:rPr>
          <w:rFonts w:ascii="Times New Roman" w:hAnsi="Times New Roman"/>
          <w:b/>
          <w:color w:val="000000"/>
          <w:sz w:val="16"/>
        </w:rPr>
        <w:t>Consolidated Statements of Stockholders’ Equity (Unaudited)</w:t>
      </w:r>
    </w:p>
    <w:p>
      <w:pPr>
        <w:pStyle w:val="TextBody"/>
        <w:bidi w:val="0"/>
        <w:jc w:val="center"/>
        <w:rPr>
          <w:rFonts w:ascii="Times New Roman" w:hAnsi="Times New Roman"/>
          <w:sz w:val="20"/>
        </w:rPr>
      </w:pPr>
      <w:r>
        <w:rPr>
          <w:rFonts w:ascii="Times New Roman" w:hAnsi="Times New Roman"/>
          <w:b/>
          <w:color w:val="000000"/>
          <w:sz w:val="16"/>
        </w:rPr>
        <w:t>Three and Six Months Ended June 30, 2026 and 2025</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(Dollars in thousands, except share data)</w:t>
      </w:r>
    </w:p>
    <w:p>
      <w:pPr>
        <w:pStyle w:val="TextBody"/>
        <w:bidi w:val="0"/>
        <w:jc w:val="both"/>
        <w:rPr/>
      </w:pPr>
      <w:r>
        <w:rPr/>
        <w:t> </w:t>
      </w:r>
    </w:p>
    <w:p>
      <w:pPr>
        <w:pStyle w:val="TextBody"/>
        <w:bidi w:val="0"/>
        <w:jc w:val="both"/>
        <w:rPr/>
      </w:pPr>
      <w:r>
        <w:rPr/>
        <w:t> </w:t>
      </w:r>
    </w:p>
    <w:tbl>
      <w:tblPr>
        <w:tblW w:w="10873" w:type="dxa"/>
        <w:jc w:val="left"/>
        <w:tblInd w:w="0" w:type="dxa"/>
        <w:tblLayout w:type="fixed"/>
        <w:tblCellMar>
          <w:top w:w="28" w:type="dxa"/>
          <w:left w:w="28" w:type="dxa"/>
          <w:bottom w:w="28" w:type="dxa"/>
          <w:right w:w="28" w:type="dxa"/>
        </w:tblCellMar>
      </w:tblPr>
      <w:tblGrid>
        <w:gridCol w:w="871"/>
        <w:gridCol w:w="146"/>
        <w:gridCol w:w="146"/>
        <w:gridCol w:w="496"/>
        <w:gridCol w:w="146"/>
        <w:gridCol w:w="146"/>
        <w:gridCol w:w="166"/>
        <w:gridCol w:w="496"/>
        <w:gridCol w:w="146"/>
        <w:gridCol w:w="146"/>
        <w:gridCol w:w="166"/>
        <w:gridCol w:w="646"/>
        <w:gridCol w:w="146"/>
        <w:gridCol w:w="146"/>
        <w:gridCol w:w="170"/>
        <w:gridCol w:w="356"/>
        <w:gridCol w:w="146"/>
        <w:gridCol w:w="146"/>
        <w:gridCol w:w="166"/>
        <w:gridCol w:w="421"/>
        <w:gridCol w:w="151"/>
        <w:gridCol w:w="146"/>
        <w:gridCol w:w="166"/>
        <w:gridCol w:w="496"/>
        <w:gridCol w:w="151"/>
        <w:gridCol w:w="146"/>
        <w:gridCol w:w="166"/>
        <w:gridCol w:w="496"/>
        <w:gridCol w:w="151"/>
        <w:gridCol w:w="146"/>
        <w:gridCol w:w="234"/>
        <w:gridCol w:w="682"/>
        <w:gridCol w:w="151"/>
        <w:gridCol w:w="146"/>
        <w:gridCol w:w="184"/>
        <w:gridCol w:w="537"/>
        <w:gridCol w:w="151"/>
        <w:gridCol w:w="146"/>
        <w:gridCol w:w="166"/>
        <w:gridCol w:w="496"/>
        <w:gridCol w:w="351"/>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Unallocated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At 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of ESOP</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center"/>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b/>
                <w:color w:val="000000"/>
                <w:sz w:val="12"/>
              </w:rPr>
            </w:pPr>
            <w:r>
              <w:rPr>
                <w:rFonts w:ascii="Times New Roman" w:hAnsi="Times New Roman"/>
                <w:b/>
                <w:color w:val="000000"/>
                <w:sz w:val="12"/>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24,135,926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208,604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135,332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541,549</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8,623</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dividend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(281</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Release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ESOP shares committed to be released (33,436</w:t>
            </w:r>
            <w:r>
              <w:rPr>
                <w:rFonts w:ascii="Times New Roman" w:hAnsi="Times New Roman"/>
                <w:color w:val="000000"/>
                <w:sz w:val="20"/>
              </w:rPr>
              <w:t> </w:t>
            </w:r>
            <w:r>
              <w:rPr>
                <w:rFonts w:ascii="Times New Roman" w:hAnsi="Times New Roman"/>
                <w:color w:val="000000"/>
                <w:sz w:val="12"/>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558</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552</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b/>
                <w:color w:val="000000"/>
                <w:sz w:val="12"/>
              </w:rPr>
            </w:pPr>
            <w:r>
              <w:rPr>
                <w:rFonts w:ascii="Times New Roman" w:hAnsi="Times New Roman"/>
                <w:b/>
                <w:color w:val="000000"/>
                <w:sz w:val="12"/>
              </w:rPr>
              <w:t>Balance,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24,187,901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(5,738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209,219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143,674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(10,680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(10,361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551,363</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8,495</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Dividend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(282</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ESOP shares committed to be released (33,436</w:t>
            </w:r>
            <w:r>
              <w:rPr>
                <w:rFonts w:ascii="Times New Roman" w:hAnsi="Times New Roman"/>
                <w:color w:val="000000"/>
                <w:sz w:val="20"/>
              </w:rPr>
              <w:t> </w:t>
            </w:r>
            <w:r>
              <w:rPr>
                <w:rFonts w:ascii="Times New Roman" w:hAnsi="Times New Roman"/>
                <w:color w:val="000000"/>
                <w:sz w:val="12"/>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667</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b/>
                <w:color w:val="000000"/>
                <w:sz w:val="12"/>
              </w:rPr>
            </w:pPr>
            <w:r>
              <w:rPr>
                <w:rFonts w:ascii="Times New Roman" w:hAnsi="Times New Roman"/>
                <w:b/>
                <w:color w:val="000000"/>
                <w:sz w:val="12"/>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24,187,901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(5,738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210,339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151,887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(10,698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(10,069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560,970</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10853" w:type="dxa"/>
        <w:jc w:val="left"/>
        <w:tblInd w:w="0" w:type="dxa"/>
        <w:tblLayout w:type="fixed"/>
        <w:tblCellMar>
          <w:top w:w="28" w:type="dxa"/>
          <w:left w:w="28" w:type="dxa"/>
          <w:bottom w:w="28" w:type="dxa"/>
          <w:right w:w="28" w:type="dxa"/>
        </w:tblCellMar>
      </w:tblPr>
      <w:tblGrid>
        <w:gridCol w:w="871"/>
        <w:gridCol w:w="146"/>
        <w:gridCol w:w="146"/>
        <w:gridCol w:w="496"/>
        <w:gridCol w:w="146"/>
        <w:gridCol w:w="146"/>
        <w:gridCol w:w="166"/>
        <w:gridCol w:w="496"/>
        <w:gridCol w:w="146"/>
        <w:gridCol w:w="146"/>
        <w:gridCol w:w="146"/>
        <w:gridCol w:w="646"/>
        <w:gridCol w:w="146"/>
        <w:gridCol w:w="146"/>
        <w:gridCol w:w="170"/>
        <w:gridCol w:w="356"/>
        <w:gridCol w:w="146"/>
        <w:gridCol w:w="146"/>
        <w:gridCol w:w="166"/>
        <w:gridCol w:w="421"/>
        <w:gridCol w:w="151"/>
        <w:gridCol w:w="146"/>
        <w:gridCol w:w="166"/>
        <w:gridCol w:w="496"/>
        <w:gridCol w:w="151"/>
        <w:gridCol w:w="146"/>
        <w:gridCol w:w="166"/>
        <w:gridCol w:w="496"/>
        <w:gridCol w:w="151"/>
        <w:gridCol w:w="146"/>
        <w:gridCol w:w="234"/>
        <w:gridCol w:w="682"/>
        <w:gridCol w:w="151"/>
        <w:gridCol w:w="146"/>
        <w:gridCol w:w="184"/>
        <w:gridCol w:w="537"/>
        <w:gridCol w:w="151"/>
        <w:gridCol w:w="146"/>
        <w:gridCol w:w="166"/>
        <w:gridCol w:w="496"/>
        <w:gridCol w:w="351"/>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Unallocated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At 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of ESOP</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b/>
                <w:color w:val="000000"/>
                <w:sz w:val="12"/>
              </w:rPr>
            </w:pPr>
            <w:r>
              <w:rPr>
                <w:rFonts w:ascii="Times New Roman" w:hAnsi="Times New Roman"/>
                <w:b/>
                <w:color w:val="000000"/>
                <w:sz w:val="12"/>
              </w:rPr>
              <w:t>Balance,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23,961,214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207,319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107,754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505,500</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5,959</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dividend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(281</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1,782</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ESOP shares committed to be released (33,436</w:t>
            </w:r>
            <w:r>
              <w:rPr>
                <w:rFonts w:ascii="Times New Roman" w:hAnsi="Times New Roman"/>
                <w:color w:val="000000"/>
                <w:sz w:val="20"/>
              </w:rPr>
              <w:t> </w:t>
            </w:r>
            <w:r>
              <w:rPr>
                <w:rFonts w:ascii="Times New Roman" w:hAnsi="Times New Roman"/>
                <w:color w:val="000000"/>
                <w:sz w:val="12"/>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423</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503</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b/>
                <w:color w:val="000000"/>
                <w:sz w:val="12"/>
              </w:rPr>
            </w:pPr>
            <w:r>
              <w:rPr>
                <w:rFonts w:ascii="Times New Roman" w:hAnsi="Times New Roman"/>
                <w:b/>
                <w:color w:val="000000"/>
                <w:sz w:val="12"/>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23,966,191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(7,641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207,888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113,432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(13,515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(11,527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513,886</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6,100</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Dividend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(282</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468</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Release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ESOP shares committed to be released (33,436</w:t>
            </w:r>
            <w:r>
              <w:rPr>
                <w:rFonts w:ascii="Times New Roman" w:hAnsi="Times New Roman"/>
                <w:color w:val="000000"/>
                <w:sz w:val="20"/>
              </w:rPr>
              <w:t> </w:t>
            </w:r>
            <w:r>
              <w:rPr>
                <w:rFonts w:ascii="Times New Roman" w:hAnsi="Times New Roman"/>
                <w:color w:val="000000"/>
                <w:sz w:val="12"/>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463</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453</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b/>
                <w:color w:val="000000"/>
                <w:sz w:val="12"/>
              </w:rPr>
            </w:pPr>
            <w:r>
              <w:rPr>
                <w:rFonts w:ascii="Times New Roman" w:hAnsi="Times New Roman"/>
                <w:b/>
                <w:color w:val="000000"/>
                <w:sz w:val="12"/>
              </w:rPr>
              <w:t>Balance,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23,984,800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(7,404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208,275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119,250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(13,047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(11,235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521,088</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The accompanying notes are an integral part of the consolidated financial statements (unaudited).</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 xml:space="preserve">Ponce Financial Group, Inc. </w:t>
      </w:r>
      <w:r>
        <w:rPr>
          <w:rFonts w:ascii="Times New Roman" w:hAnsi="Times New Roman"/>
          <w:b/>
          <w:color w:val="000000"/>
          <w:sz w:val="18"/>
        </w:rPr>
        <w:t>and Subsidiaries</w:t>
      </w:r>
    </w:p>
    <w:p>
      <w:pPr>
        <w:pStyle w:val="TextBody"/>
        <w:bidi w:val="0"/>
        <w:spacing w:before="120" w:after="283"/>
        <w:jc w:val="center"/>
        <w:rPr>
          <w:rFonts w:ascii="Times New Roman" w:hAnsi="Times New Roman"/>
          <w:b/>
          <w:color w:val="000000"/>
          <w:sz w:val="18"/>
        </w:rPr>
      </w:pPr>
      <w:bookmarkStart w:id="9" w:name="consolidated_statements_cash_flows_unaud"/>
      <w:bookmarkEnd w:id="9"/>
      <w:r>
        <w:rPr>
          <w:rFonts w:ascii="Times New Roman" w:hAnsi="Times New Roman"/>
          <w:b/>
          <w:color w:val="000000"/>
          <w:sz w:val="18"/>
        </w:rPr>
        <w:t>Consolidated Statements of Cash Flows (Unaudited)</w:t>
      </w:r>
    </w:p>
    <w:p>
      <w:pPr>
        <w:pStyle w:val="TextBody"/>
        <w:bidi w:val="0"/>
        <w:jc w:val="center"/>
        <w:rPr>
          <w:rFonts w:ascii="Times New Roman" w:hAnsi="Times New Roman"/>
          <w:b/>
          <w:color w:val="000000"/>
          <w:sz w:val="18"/>
        </w:rPr>
      </w:pPr>
      <w:r>
        <w:rPr>
          <w:rFonts w:ascii="Times New Roman" w:hAnsi="Times New Roman"/>
          <w:b/>
          <w:color w:val="000000"/>
          <w:sz w:val="18"/>
        </w:rPr>
        <w:t>Six Months Ended June 30, 2026 and 2025</w:t>
      </w:r>
    </w:p>
    <w:p>
      <w:pPr>
        <w:pStyle w:val="TextBody"/>
        <w:bidi w:val="0"/>
        <w:jc w:val="center"/>
        <w:rPr>
          <w:rFonts w:ascii="Times New Roman" w:hAnsi="Times New Roman"/>
          <w:b/>
          <w:color w:val="000000"/>
          <w:sz w:val="18"/>
        </w:rPr>
      </w:pPr>
      <w:r>
        <w:rPr>
          <w:rFonts w:ascii="Times New Roman" w:hAnsi="Times New Roman"/>
          <w:b/>
          <w:color w:val="000000"/>
          <w:sz w:val="18"/>
        </w:rPr>
        <w:t>(In thousands)</w:t>
      </w:r>
    </w:p>
    <w:p>
      <w:pPr>
        <w:pStyle w:val="TextBody"/>
        <w:bidi w:val="0"/>
        <w:spacing w:before="40" w:after="283"/>
        <w:jc w:val="both"/>
        <w:rPr/>
      </w:pPr>
      <w:r>
        <w:rPr/>
        <w:t> </w:t>
      </w:r>
    </w:p>
    <w:p>
      <w:pPr>
        <w:pStyle w:val="TextBody"/>
        <w:bidi w:val="0"/>
        <w:spacing w:before="40" w:after="283"/>
        <w:jc w:val="both"/>
        <w:rPr/>
      </w:pPr>
      <w:r>
        <w:rPr/>
        <w:t> </w:t>
      </w:r>
    </w:p>
    <w:tbl>
      <w:tblPr>
        <w:tblW w:w="9354" w:type="dxa"/>
        <w:jc w:val="left"/>
        <w:tblInd w:w="0" w:type="dxa"/>
        <w:tblLayout w:type="fixed"/>
        <w:tblCellMar>
          <w:top w:w="28" w:type="dxa"/>
          <w:left w:w="28" w:type="dxa"/>
          <w:bottom w:w="28" w:type="dxa"/>
          <w:right w:w="28" w:type="dxa"/>
        </w:tblCellMar>
      </w:tblPr>
      <w:tblGrid>
        <w:gridCol w:w="5991"/>
        <w:gridCol w:w="146"/>
        <w:gridCol w:w="196"/>
        <w:gridCol w:w="751"/>
        <w:gridCol w:w="166"/>
        <w:gridCol w:w="146"/>
        <w:gridCol w:w="196"/>
        <w:gridCol w:w="751"/>
        <w:gridCol w:w="1011"/>
      </w:tblGrid>
      <w:tr>
        <w:trPr/>
        <w:tc>
          <w:tcPr>
            <w:tcW w:w="5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12,059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premiums/discounts on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on sale of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ESOP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Decrease in mortgage loans held for sale,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Increase in accrued 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Increase in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Increase in accrued 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Decrease in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Increase in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1,445</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8"/>
              </w:rPr>
            </w:pPr>
            <w:r>
              <w:rPr>
                <w:rFonts w:ascii="Times New Roman" w:hAnsi="Times New Roman"/>
                <w:b/>
                <w:color w:val="000000"/>
                <w:sz w:val="18"/>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19,261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(purchases) redemptions of FHLBNY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purchases of FRBNY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maturities, calls and principal repayments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42,382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increase in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(179,518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premises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8"/>
              </w:rPr>
            </w:pPr>
            <w:r>
              <w:rPr>
                <w:rFonts w:ascii="Times New Roman" w:hAnsi="Times New Roman"/>
                <w:b/>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(257,901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(129,243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increase in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157,345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proceeds (repayment) from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Dividends paid on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96,782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(13,200</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139,839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126,639</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interest on deposits and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42,778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income taxes, net of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assets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The accompanying notes are an integral part of the consolidated financial statements (unaudited).</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jc w:val="both"/>
        <w:rPr>
          <w:rFonts w:ascii="Times New Roman" w:hAnsi="Times New Roman"/>
          <w:b/>
          <w:color w:val="000000"/>
          <w:sz w:val="20"/>
        </w:rPr>
      </w:pPr>
      <w:bookmarkStart w:id="10" w:name="note_1_nature_business_summary_significa"/>
      <w:bookmarkEnd w:id="10"/>
      <w:r>
        <w:rPr>
          <w:rFonts w:ascii="Times New Roman" w:hAnsi="Times New Roman"/>
          <w:b/>
          <w:color w:val="000000"/>
          <w:sz w:val="20"/>
        </w:rPr>
        <w:t>Note 1. Nature of Business</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Basis of Presentation and Consolidation:</w:t>
      </w:r>
    </w:p>
    <w:p>
      <w:pPr>
        <w:pStyle w:val="TextBody"/>
        <w:bidi w:val="0"/>
        <w:spacing w:before="12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Ponce Financial Group, Inc. (hereafter referred to as “we,” “our,” “us,” “Ponce Financial Group, Inc.,” or the “Company”) is a financial holding company and the holding company of Ponce Bank, National Association. (“Ponce Bank” or the “Bank”), a national bank. The Company’s Consolidated Financial Statements presented herein have been prepared in accordance with accounting principles generally accepted in the United States of America (“GAAP”). </w:t>
      </w:r>
    </w:p>
    <w:p>
      <w:pPr>
        <w:pStyle w:val="TextBody"/>
        <w:bidi w:val="0"/>
        <w:spacing w:before="12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Consolidated Financial Statements include the accounts of the Company and its wholly-owned subsidiary Ponce Bank. All significant intercompany transactions and balances have been eliminated in consolidation. For further information, refer to the audited Consolidated Financial Statements and Notes included in the Company' Annual Report on Form 10-K for the year ended December 31, 2025 filed with the SEC on March 13, 2026 (the "2025 Form 10-K").</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Use of Estimates</w:t>
      </w:r>
      <w:r>
        <w:rPr>
          <w:rFonts w:ascii="Times New Roman" w:hAnsi="Times New Roman"/>
          <w:color w:val="000000"/>
          <w:sz w:val="20"/>
        </w:rPr>
        <w:t>: In preparing the consolidated financial statements, management is required to make estimates and assumptions that affect the reported amounts of assets and liabilities and disclosure of contingent assets and liabilities, as of the date of the consolidated statement of financial condition, and revenues and expenses for the reporting period. Actual results could differ from those estimates. Material estimates that are particularly susceptible to significant change in the near term relate to the determination of the allowance for credit losses, the valuation of real estate acquired in connection with foreclosures or in satisfaction of loans, the valuation of loans held for sale, the valuation of deferred tax assets and investment securities and the estimates relating to the valuation for share-based awards.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Segment Reporting</w:t>
      </w:r>
      <w:r>
        <w:rPr>
          <w:rFonts w:ascii="Times New Roman" w:hAnsi="Times New Roman"/>
          <w:color w:val="000000"/>
          <w:sz w:val="20"/>
        </w:rPr>
        <w:t>: Operating segments are defined as components of an entity for which separate financial information is available and that is regularly reviewed by the Chief Operating Decision Maker (the “CODM”) in deciding how to allocate resources to an individual segment and in assessing performance. The Company’s Chief Executive Officer is the Company’s CODM. The CODM reviews financial information presented on a consolidated basis for purposes of making operating decisions, allocating resources, and evaluating financial performance. As such, the Company has determined that it operates as one operating segment and one reportable segment.</w:t>
      </w:r>
    </w:p>
    <w:p>
      <w:pPr>
        <w:pStyle w:val="TextBody"/>
        <w:bidi w:val="0"/>
        <w:spacing w:before="360" w:after="283"/>
        <w:jc w:val="both"/>
        <w:rPr>
          <w:rFonts w:ascii="Times New Roman" w:hAnsi="Times New Roman"/>
          <w:sz w:val="20"/>
        </w:rPr>
      </w:pPr>
      <w:r>
        <w:rPr>
          <w:rFonts w:ascii="Times New Roman" w:hAnsi="Times New Roman"/>
          <w:b/>
          <w:color w:val="000000"/>
          <w:sz w:val="20"/>
        </w:rPr>
        <w:t>Note 2. Preferred Stock</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On June 7, 2022 (the “Original Closing Date”), the Company issued 225,000 shares of the Company’s Preferred Stock‎, par value $0.01 (the “Preferred Stock”) for an aggregate purchase price equal to $225,000,000 in cash to the Treasury, pursuant to the Treasury’s ECIP. Under the ECIP, Treasury provided investment capital directly to depository institutions that are CDFIs or MDIs or their holding companies, to provide loans, grants, and forbearance for small businesses, minority-owned businesses, and consumers, in low-income and underserved communities. No dividends accrued or were due for the first two years after issuance. For years three through ten, depending upon the level of qualified and/or deep impact lending made in targeted communities, as defined in the ECIP guidelines, dividends will be at an annual rate of either 2.0%, 1.25% or 0.5% and, thereafter, will be fixed at one of the foregoing rates. If we are unable to make qualified and/or deep impact loans at required levels, we will be required to pay dividends at the higher annual rates.</w:t>
      </w:r>
      <w:r>
        <w:rPr>
          <w:rFonts w:ascii="Times New Roman" w:hAnsi="Times New Roman"/>
          <w:color w:val="1F497D"/>
          <w:sz w:val="20"/>
        </w:rPr>
        <w:t xml:space="preserve"> </w:t>
      </w:r>
      <w:r>
        <w:rPr>
          <w:rFonts w:ascii="Times New Roman" w:hAnsi="Times New Roman"/>
          <w:color w:val="000000"/>
          <w:sz w:val="20"/>
        </w:rPr>
        <w:t>Additionally, we may make qualified and/or deep impact loans that are riskier than we otherwise would in an effort to meet the lending requirements for the lower dividend rates and/or to qualify for the purchase option under the Repurchase Agreement (as described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Holders of Preferred Stock generally do not have any voting rights, with the exception of voting rights on certain matters as outlined in the Certificate of Designations. The Treasury is the holder of the Preferred Stock and a governmental entity, and the Treasury may hold interests that are different from a private investor in exercising its voting and other rights. In the event of a liquidation, dissolution or winding up of the Company, the Preferred Stock will be entitled to a liquidation preference, subject to certain limitations, in the amount of the sum of $1,000 per share plus declared and unpaid dividends (without accumulation of undeclared dividends) on each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participant in the ECIP, the Company must comply with certain operating requirements. Specifically, the Company must adopt the Treasury's standards for executive compensation and luxury expenses for the period during which the Treasury holds equity issued under the ECIP. These restrictions may make it difficult to adequately compensate our management team, which could impact our ability to retain qualified management. Additionally, under the ECIP regulations, the Company cannot pay dividends or repurchase its common stock unless it meets certain income-based tests and has paid the required dividends on the Preferred Stock. In June 2024, the Company began paying dividends on its Preferred Stock, which dividends were $0.6 million and $0.6 million for the six months ended June 30, 2026 and 2025, respectively.</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December 20, 2024, the Company entered into an ECIP Securities Purchase Option Agreement (the “Repurchase Agreement”) with Treasury. Pursuant to the Repurchase Agreement, Treasury has granted the Company an option to purchase all of the Preferred Stock during the Option Period, which is the first fifteen years following the Original Closing Date. The purchase price for the Preferred Stock pursuant to the purchase option is determined based on a formula equal to the present value of the Preferred Stock, calculated as set forth in the Repurchase Agreement, together with any accrued and unpaid dividends thereon, as of the closing date. Subject to variations in interest rates and the equity risk premium, which are components included in the purchase price calculation, the Company presently expects that the purchase price will be at a substantial discount from the face value of the Preferred Stock. </w:t>
      </w:r>
    </w:p>
    <w:p>
      <w:pPr>
        <w:pStyle w:val="TextBody"/>
        <w:bidi w:val="0"/>
        <w:jc w:val="both"/>
        <w:rPr>
          <w:rFonts w:ascii="Times New Roman" w:hAnsi="Times New Roman"/>
          <w:color w:val="000000"/>
          <w:sz w:val="20"/>
        </w:rPr>
      </w:pPr>
      <w:r>
        <w:rPr>
          <w:rFonts w:ascii="Times New Roman" w:hAnsi="Times New Roman"/>
          <w:color w:val="000000"/>
          <w:sz w:val="20"/>
        </w:rPr>
        <w:t xml:space="preserve">The purchase option may not be exercised unless and until at least one of the Threshold Conditions under the Repurchase Agreement has been met. The Threshold Conditions are as follows: during the ten years that follow the Original Closing Date (the “ECIP Period”) either (1) over any sixteen consecutive quarters, an average of at least 60% of the Company’s Total Originations, as defined pursuant to the terms of the ECIP, qualifies as “Deep Impact Lending,” as defined pursuant to the terms of the ECIP (the “Deep Impact Condition”); (2) over any twenty-four consecutive quarters, an average of at least 85% of the Company’s Total Originations qualifies as “Qualified Lending,” as defined pursuant to the terms of the ECIP (the “Qualified Lending Condition”); or (3) the Preferred Stock has a dividend rate of no more than 0.5%, which dividend rate is calculated pursuant to the ECIP and the terms thereof, at each of six consecutive Reset Dates, as defined in the ECIP. </w:t>
      </w:r>
    </w:p>
    <w:p>
      <w:pPr>
        <w:pStyle w:val="TextBody"/>
        <w:bidi w:val="0"/>
        <w:jc w:val="both"/>
        <w:rPr>
          <w:rFonts w:ascii="Times New Roman" w:hAnsi="Times New Roman"/>
          <w:color w:val="000000"/>
          <w:sz w:val="20"/>
        </w:rPr>
      </w:pPr>
      <w:r>
        <w:rPr>
          <w:rFonts w:ascii="Times New Roman" w:hAnsi="Times New Roman"/>
          <w:color w:val="000000"/>
          <w:sz w:val="20"/>
        </w:rPr>
        <w:t xml:space="preserve">The earliest possible date by which a Threshold Condition may be met is June 30, 2026, which is the end of the sixteenth consecutive quarter following the Original Closing Date. The Company believes it has met the Threshold Conditions to exercise the purchase option as of June 30, 2026 because the Company has reported sixteen consecutive quarters for which it has met both the Deep Impact and Qualified Lending Conditions. The Preferred Stock currently has a dividend rate of 0.5%. </w:t>
      </w:r>
    </w:p>
    <w:p>
      <w:pPr>
        <w:pStyle w:val="TextBody"/>
        <w:bidi w:val="0"/>
        <w:jc w:val="left"/>
        <w:rPr>
          <w:rFonts w:ascii="Times New Roman" w:hAnsi="Times New Roman"/>
          <w:color w:val="000000"/>
          <w:sz w:val="20"/>
        </w:rPr>
      </w:pPr>
      <w:r>
        <w:rPr>
          <w:rFonts w:ascii="Times New Roman" w:hAnsi="Times New Roman"/>
          <w:color w:val="000000"/>
          <w:sz w:val="20"/>
        </w:rPr>
        <w:t>The closing of the repurchase of the Preferred Stock, if consummated, would occur between thirty and ninety days following the satisfaction of all applicable conditions, including the Threshold Condition. In addition to the requirement that a Threshold Condition be met, the Repurchase Agreement requires that the Company meet certain other eligibility conditions in order to exercise the purchase option in the future, including compliance with the terms of the original ECIP purchase agreement and the terms of the Preferred Stock, maintaining qualification as either a CDFI or an MDI, and meeting other legal and regulatory criteria. Although the Company currently expects that it will satisfy all other necessary conditions, there can be no assurance if and when such repurchase will be consummated with Treasury.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purchase option granted under the agreement is a freestanding financial instrument under GAAP. The Company analyzed the fair value of the repurchase option in accordance with ASC Topic 820 “Fair Value Measurements” and determined that the purchase option value is de minimis as of December 20, 2024, December 31, 2025 and June 30, 2026.</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3.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amortized cost, gross unrealized gains and losses, and fair value of securities at June 30, 2026 and December 31, 2025 are summarized as follows:</w:t>
      </w:r>
    </w:p>
    <w:p>
      <w:pPr>
        <w:pStyle w:val="TextBody"/>
        <w:bidi w:val="0"/>
        <w:jc w:val="both"/>
        <w:rPr/>
      </w:pPr>
      <w:r>
        <w:rPr/>
        <w:t> </w:t>
      </w:r>
    </w:p>
    <w:tbl>
      <w:tblPr>
        <w:tblW w:w="8901" w:type="dxa"/>
        <w:jc w:val="left"/>
        <w:tblInd w:w="0" w:type="dxa"/>
        <w:tblLayout w:type="fixed"/>
        <w:tblCellMar>
          <w:top w:w="28" w:type="dxa"/>
          <w:left w:w="28" w:type="dxa"/>
          <w:bottom w:w="28" w:type="dxa"/>
          <w:right w:w="28" w:type="dxa"/>
        </w:tblCellMar>
      </w:tblPr>
      <w:tblGrid>
        <w:gridCol w:w="3531"/>
        <w:gridCol w:w="146"/>
        <w:gridCol w:w="211"/>
        <w:gridCol w:w="781"/>
        <w:gridCol w:w="166"/>
        <w:gridCol w:w="146"/>
        <w:gridCol w:w="295"/>
        <w:gridCol w:w="591"/>
        <w:gridCol w:w="146"/>
        <w:gridCol w:w="146"/>
        <w:gridCol w:w="211"/>
        <w:gridCol w:w="736"/>
        <w:gridCol w:w="166"/>
        <w:gridCol w:w="146"/>
        <w:gridCol w:w="211"/>
        <w:gridCol w:w="781"/>
        <w:gridCol w:w="491"/>
      </w:tblGrid>
      <w:tr>
        <w:trPr/>
        <w:tc>
          <w:tcPr>
            <w:tcW w:w="3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Collateralized Mortgage Obligations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FHLMC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FNMA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GNMA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84,774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Held-to-Maturity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Collateralized Mortgage Obligations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143,727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FHLMC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FNMA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82,558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SBA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held-to-maturity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246,965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jc w:val="both"/>
        <w:rPr>
          <w:rFonts w:ascii="Times New Roman" w:hAnsi="Times New Roman"/>
          <w:color w:val="000000"/>
          <w:sz w:val="18"/>
        </w:rPr>
      </w:pPr>
      <w:r>
        <w:rPr>
          <w:rFonts w:ascii="Times New Roman" w:hAnsi="Times New Roman"/>
          <w:color w:val="000000"/>
          <w:sz w:val="18"/>
        </w:rPr>
        <w:t>Comprised of Federal Home Loan Mortgage Corporation (“FHLMC”), Federal National Mortgage Association (“FNMA”) and Ginnie Mae (“GNMA”) issued securities.</w:t>
      </w:r>
    </w:p>
    <w:p>
      <w:pPr>
        <w:pStyle w:val="TextBody"/>
        <w:bidi w:val="0"/>
        <w:jc w:val="both"/>
        <w:rPr/>
      </w:pPr>
      <w:r>
        <w:rPr/>
        <w:t> </w:t>
      </w:r>
    </w:p>
    <w:tbl>
      <w:tblPr>
        <w:tblW w:w="8901" w:type="dxa"/>
        <w:jc w:val="left"/>
        <w:tblInd w:w="0" w:type="dxa"/>
        <w:tblLayout w:type="fixed"/>
        <w:tblCellMar>
          <w:top w:w="28" w:type="dxa"/>
          <w:left w:w="28" w:type="dxa"/>
          <w:bottom w:w="28" w:type="dxa"/>
          <w:right w:w="28" w:type="dxa"/>
        </w:tblCellMar>
      </w:tblPr>
      <w:tblGrid>
        <w:gridCol w:w="3531"/>
        <w:gridCol w:w="146"/>
        <w:gridCol w:w="211"/>
        <w:gridCol w:w="781"/>
        <w:gridCol w:w="166"/>
        <w:gridCol w:w="146"/>
        <w:gridCol w:w="295"/>
        <w:gridCol w:w="591"/>
        <w:gridCol w:w="146"/>
        <w:gridCol w:w="146"/>
        <w:gridCol w:w="211"/>
        <w:gridCol w:w="736"/>
        <w:gridCol w:w="166"/>
        <w:gridCol w:w="146"/>
        <w:gridCol w:w="211"/>
        <w:gridCol w:w="781"/>
        <w:gridCol w:w="491"/>
      </w:tblGrid>
      <w:tr>
        <w:trPr/>
        <w:tc>
          <w:tcPr>
            <w:tcW w:w="3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Collateralized Mortgage Obligations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FHLMC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FNMA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GNMA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92,196</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Held-to-Maturity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Collateralized Mortgage Obligations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158,010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FHLMC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FNMA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SBA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held-to-maturity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268,875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jc w:val="both"/>
        <w:rPr>
          <w:rFonts w:ascii="Times New Roman" w:hAnsi="Times New Roman"/>
          <w:color w:val="000000"/>
          <w:sz w:val="18"/>
        </w:rPr>
      </w:pPr>
      <w:r>
        <w:rPr>
          <w:rFonts w:ascii="Times New Roman" w:hAnsi="Times New Roman"/>
          <w:color w:val="000000"/>
          <w:sz w:val="18"/>
        </w:rPr>
        <w:t>Comprised of FHLMC, FNMA and GNMA issued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securities portfolio had 33 and 34 available-for-sale securities and 28 and 28 held-to-maturity securities at June 30, 2026 and December 31, 2025, respectively. There were no available-for-sale and held-to-maturity securities sold during the six months ended June 30, 2026 and for the year ended December 31, 2025. There was one available-for-sale security in the amount of $3.0 million that matured during the six months ended June 30, 2026. There were four available-for-sale securities in the total amount of $8.3 million and three held-to-maturity securities in the total amount of $50.0 million that matured or were called during the year ended December 31, 2025. The Company did not purchase any available-for-sale securities and held-to-maturity securities during the six months ended June 30, 2026 and during the year ended December 31,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Company's gross unrealized losses and fair values of its securities, aggregated by the length of time the individual securities have been in a continuous unrealized loss position, at June 30, 2026 and December 31, 2025:</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397"/>
        <w:gridCol w:w="146"/>
        <w:gridCol w:w="211"/>
        <w:gridCol w:w="676"/>
        <w:gridCol w:w="146"/>
        <w:gridCol w:w="146"/>
        <w:gridCol w:w="270"/>
        <w:gridCol w:w="616"/>
        <w:gridCol w:w="166"/>
        <w:gridCol w:w="146"/>
        <w:gridCol w:w="211"/>
        <w:gridCol w:w="781"/>
        <w:gridCol w:w="146"/>
        <w:gridCol w:w="146"/>
        <w:gridCol w:w="211"/>
        <w:gridCol w:w="736"/>
        <w:gridCol w:w="166"/>
        <w:gridCol w:w="146"/>
        <w:gridCol w:w="211"/>
        <w:gridCol w:w="781"/>
        <w:gridCol w:w="146"/>
        <w:gridCol w:w="146"/>
        <w:gridCol w:w="211"/>
        <w:gridCol w:w="736"/>
        <w:gridCol w:w="511"/>
      </w:tblGrid>
      <w:tr>
        <w:trPr/>
        <w:tc>
          <w:tcPr>
            <w:tcW w:w="2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 With Gross Unrealized Losses</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More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1"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Collateralized Mortgage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FHLMC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FNMA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84,702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84,702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(13,599</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Held-to-Maturity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Collateralized Mortgage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FHLMC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FNMA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held-to-maturity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206,735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225,094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(7,011</w:t>
            </w:r>
          </w:p>
        </w:tc>
        <w:tc>
          <w:tcPr>
            <w:tcW w:w="5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97"/>
        <w:gridCol w:w="146"/>
        <w:gridCol w:w="211"/>
        <w:gridCol w:w="676"/>
        <w:gridCol w:w="146"/>
        <w:gridCol w:w="146"/>
        <w:gridCol w:w="318"/>
        <w:gridCol w:w="568"/>
        <w:gridCol w:w="166"/>
        <w:gridCol w:w="146"/>
        <w:gridCol w:w="211"/>
        <w:gridCol w:w="781"/>
        <w:gridCol w:w="146"/>
        <w:gridCol w:w="146"/>
        <w:gridCol w:w="211"/>
        <w:gridCol w:w="736"/>
        <w:gridCol w:w="166"/>
        <w:gridCol w:w="146"/>
        <w:gridCol w:w="211"/>
        <w:gridCol w:w="781"/>
        <w:gridCol w:w="146"/>
        <w:gridCol w:w="146"/>
        <w:gridCol w:w="211"/>
        <w:gridCol w:w="736"/>
        <w:gridCol w:w="511"/>
      </w:tblGrid>
      <w:tr>
        <w:trPr/>
        <w:tc>
          <w:tcPr>
            <w:tcW w:w="2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 With Gross Unrealized Losses</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More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1"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Collateralized Mortgage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FHLMC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FNMA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92,119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92,119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(13,755</w:t>
            </w:r>
          </w:p>
        </w:tc>
        <w:tc>
          <w:tcPr>
            <w:tcW w:w="5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Held-to-Maturity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Collateralized Mortgage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FHLMC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FNMA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held-to-maturity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(4,586</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At June 30, 2026 and December 31, 2025, the Company had 32 and 33 available-for-sale securities and 22 and 21 held-to-maturity securities at June 30, 2026 and December 31, 2025, respectively, with gross unrealized loss positions. Management reviewed the financial condition of the entities underlying the securities at both June 30, 2026 and December 31, 2025. The unrealized losses related to the Company debt securities were issued by U.S. government-sponsored entities and agencies and corporate bonds. The Company does not believe that the debt securities that were in an unrealized loss position as of June 30, 2026 represents a credit loss impairment. The gross unrealized loss positions related to mortgage-backed securities and other obligations issued by the U.S. government agencies or U.S. government-sponsored enterprises carry the explicit and/or implicit guarantee of the U.S. government and have a long history of zero credit loss. Total gross unrealized losses were primarily attributable to changes in interest rates relative to when the investment securities were purchased and not due to the credit quality of the investment securities.</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 reviewed the collectability of the corporate bonds taking into consideration of such factors as the financial condition of the issuers, reported regulatory capital ratios of the issuers, credit ratings, including ratings in effect as of the reporting date. Management believes the unrealized losses on the corporate bonds are primarily attributable to changes in the interest rates and not changes in the credit quality of the issuers of the corporate bonds.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is a summary of maturities of securities at June 30, 2026. Amounts are shown by contractual maturity. Because borrowers for mortgage-backed securities have the right to prepay obligations with or without prepayment penalties, at any time, these securities are included as a total within the table.</w:t>
      </w:r>
    </w:p>
    <w:p>
      <w:pPr>
        <w:pStyle w:val="TextBody"/>
        <w:bidi w:val="0"/>
        <w:jc w:val="both"/>
        <w:rPr/>
      </w:pPr>
      <w:r>
        <w:rPr/>
        <w:t> </w:t>
      </w:r>
    </w:p>
    <w:tbl>
      <w:tblPr>
        <w:tblW w:w="6914" w:type="dxa"/>
        <w:jc w:val="left"/>
        <w:tblInd w:w="0" w:type="dxa"/>
        <w:tblLayout w:type="fixed"/>
        <w:tblCellMar>
          <w:top w:w="28" w:type="dxa"/>
          <w:left w:w="28" w:type="dxa"/>
          <w:bottom w:w="28" w:type="dxa"/>
          <w:right w:w="28" w:type="dxa"/>
        </w:tblCellMar>
      </w:tblPr>
      <w:tblGrid>
        <w:gridCol w:w="3881"/>
        <w:gridCol w:w="146"/>
        <w:gridCol w:w="211"/>
        <w:gridCol w:w="781"/>
        <w:gridCol w:w="166"/>
        <w:gridCol w:w="146"/>
        <w:gridCol w:w="211"/>
        <w:gridCol w:w="781"/>
        <w:gridCol w:w="591"/>
      </w:tblGrid>
      <w:tr>
        <w:trPr/>
        <w:tc>
          <w:tcPr>
            <w:tcW w:w="3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maturing: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Three months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More than three months through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More than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More than five years through ten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71,680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84,774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Held-to-Maturity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maturing: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Three months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More than three months through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More than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More than five years through ten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239,542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held-to-maturity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246,965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At June 30, 2026 and December 31, 2025, no securities were pledged as collateral for borrowing activities.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activity in the allowance for credit losses for held-to-maturity securities:</w:t>
      </w:r>
    </w:p>
    <w:p>
      <w:pPr>
        <w:pStyle w:val="TextBody"/>
        <w:bidi w:val="0"/>
        <w:jc w:val="both"/>
        <w:rPr/>
      </w:pPr>
      <w:r>
        <w:rPr/>
        <w:t> </w:t>
      </w:r>
    </w:p>
    <w:tbl>
      <w:tblPr>
        <w:tblW w:w="8960" w:type="dxa"/>
        <w:jc w:val="left"/>
        <w:tblInd w:w="0" w:type="dxa"/>
        <w:tblLayout w:type="fixed"/>
        <w:tblCellMar>
          <w:top w:w="28" w:type="dxa"/>
          <w:left w:w="28" w:type="dxa"/>
          <w:bottom w:w="28" w:type="dxa"/>
          <w:right w:w="28" w:type="dxa"/>
        </w:tblCellMar>
      </w:tblPr>
      <w:tblGrid>
        <w:gridCol w:w="5221"/>
        <w:gridCol w:w="146"/>
        <w:gridCol w:w="440"/>
        <w:gridCol w:w="880"/>
        <w:gridCol w:w="166"/>
        <w:gridCol w:w="146"/>
        <w:gridCol w:w="589"/>
        <w:gridCol w:w="1181"/>
        <w:gridCol w:w="19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on securities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on securities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June 30, 2026 and December 31, 2025, the entire allowance for credit losses on securities was allocated to corporate bonds.</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4. Mortgage Loans Held-for-Sale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provides the fair value and contractual principal balance outstanding of mortgage loans held-for-sale accounted for under the fair value option:</w:t>
      </w:r>
    </w:p>
    <w:p>
      <w:pPr>
        <w:pStyle w:val="TextBody"/>
        <w:bidi w:val="0"/>
        <w:spacing w:before="360" w:after="283"/>
        <w:jc w:val="both"/>
        <w:rPr/>
      </w:pPr>
      <w:r>
        <w:rPr/>
        <w:t> </w:t>
      </w:r>
    </w:p>
    <w:tbl>
      <w:tblPr>
        <w:tblW w:w="7965" w:type="dxa"/>
        <w:jc w:val="left"/>
        <w:tblInd w:w="0" w:type="dxa"/>
        <w:tblLayout w:type="fixed"/>
        <w:tblCellMar>
          <w:top w:w="28" w:type="dxa"/>
          <w:left w:w="28" w:type="dxa"/>
          <w:bottom w:w="28" w:type="dxa"/>
          <w:right w:w="28" w:type="dxa"/>
        </w:tblCellMar>
      </w:tblPr>
      <w:tblGrid>
        <w:gridCol w:w="5266"/>
        <w:gridCol w:w="146"/>
        <w:gridCol w:w="218"/>
        <w:gridCol w:w="592"/>
        <w:gridCol w:w="146"/>
        <w:gridCol w:w="146"/>
        <w:gridCol w:w="339"/>
        <w:gridCol w:w="921"/>
        <w:gridCol w:w="191"/>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 loans held-for-sale,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 loans held-for-sale, contractual principal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less unpaid principal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June 30, 2026 and December 31, 2025, the Company had 6 loans and 10 loans in the amount of $3.1 million and $3.4 million, respectively, that were classified as held-for-sale and accounted for under the fair value option accounting guidance for financial assets and financial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At June 30, 2026 and December 31, 2025, there were no mortgage loans held for sale, at fair value that were greater than 90 days past due and non-accrual with a substandard risk rating.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5. Loans Receivable, Net and Allowance for Credit Losses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Loans receivable, net at June 30, 2026 and December 31, 2025 are summarized as follows:</w:t>
      </w:r>
    </w:p>
    <w:p>
      <w:pPr>
        <w:pStyle w:val="TextBody"/>
        <w:bidi w:val="0"/>
        <w:jc w:val="both"/>
        <w:rPr/>
      </w:pPr>
      <w:r>
        <w:rPr/>
        <w:t> </w:t>
      </w:r>
    </w:p>
    <w:tbl>
      <w:tblPr>
        <w:tblW w:w="5969" w:type="dxa"/>
        <w:jc w:val="left"/>
        <w:tblInd w:w="0" w:type="dxa"/>
        <w:tblLayout w:type="fixed"/>
        <w:tblCellMar>
          <w:top w:w="28" w:type="dxa"/>
          <w:left w:w="28" w:type="dxa"/>
          <w:bottom w:w="28" w:type="dxa"/>
          <w:right w:w="28" w:type="dxa"/>
        </w:tblCellMar>
      </w:tblPr>
      <w:tblGrid>
        <w:gridCol w:w="2836"/>
        <w:gridCol w:w="146"/>
        <w:gridCol w:w="211"/>
        <w:gridCol w:w="931"/>
        <w:gridCol w:w="166"/>
        <w:gridCol w:w="146"/>
        <w:gridCol w:w="211"/>
        <w:gridCol w:w="931"/>
        <w:gridCol w:w="3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1-4 Family residential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Multifamily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756,542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Nonresidential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Construction and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854,096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2,836,627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2,571,222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Business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Consumer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non-mortgage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loans,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2,624,910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loan origination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2,879,740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2,599,258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200" w:after="283"/>
        <w:jc w:val="both"/>
        <w:rPr>
          <w:rFonts w:ascii="Times New Roman" w:hAnsi="Times New Roman"/>
          <w:color w:val="000000"/>
          <w:sz w:val="18"/>
        </w:rPr>
      </w:pPr>
      <w:r>
        <w:rPr>
          <w:rFonts w:ascii="Times New Roman" w:hAnsi="Times New Roman"/>
          <w:color w:val="000000"/>
          <w:sz w:val="18"/>
        </w:rPr>
        <w:t>Includes both investor owned and owner occupied 1-4 family residential properties combined, which were previously reported separately.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lending activities are conducted principally in metropolitan New York City. The Company primarily grants loans secured by real estate to individuals and businesses pursuant to an established credit policy applicable to each type of lending activity in which it engages. Although collateral provides assurance as a secondary source of repayment, the Company ordinarily requires the primary source of repayment to be based on the borrowers’ ability to generate continuing cash flows. The Company also evaluates the collateral and creditworthiness of each customer. The credit policy provides that depending on the borrowers’ creditworthiness and type of collateral, credit may be extended up to predetermined percentages of the market value of the collateral or on an unsecured basis. Real estate is the primary form of collateral. Other important forms of collateral are time deposits and marketable securities.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disclosures related to the allowance for credit losses and credit quality, the Company does not have any disaggregated classes of loans below the segment level.</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Credit-Quality Indicators</w:t>
      </w:r>
      <w:r>
        <w:rPr>
          <w:rFonts w:ascii="Times New Roman" w:hAnsi="Times New Roman"/>
          <w:color w:val="000000"/>
          <w:sz w:val="20"/>
        </w:rPr>
        <w:t>: Internally assigned risk ratings are used as credit-quality indicators, which are reviewed by management on a quarterly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objectives of the Company’s risk-rating system are to provide the Board of Directors and senior management with an objective assessment of the overall quality of the loan portfolio, to promptly and accurately identify loans with well-defined credit weaknesses so that timely action can be taken to minimize credit loss, to identify relevant trends affecting the collectability of the loan portfolio, to isolate potential problem areas and to provide essential information for determining the adequacy of the allowance for credit losses.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Below are the definitions of the internally assigned risk ratings: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u w:val="single"/>
        </w:rPr>
        <w:t>Strong Pass</w:t>
      </w:r>
      <w:r>
        <w:rPr>
          <w:color w:val="000000"/>
        </w:rPr>
        <w:t xml:space="preserve"> – </w:t>
      </w:r>
      <w:r>
        <w:rPr>
          <w:rFonts w:ascii="Times New Roman" w:hAnsi="Times New Roman"/>
          <w:color w:val="000000"/>
          <w:sz w:val="20"/>
        </w:rPr>
        <w:t>Loans to a new or existing borrower collateralized at least 90</w:t>
      </w:r>
      <w:r>
        <w:rPr>
          <w:color w:val="000000"/>
        </w:rPr>
        <w:t xml:space="preserve"> </w:t>
      </w:r>
      <w:r>
        <w:rPr>
          <w:rFonts w:ascii="Times New Roman" w:hAnsi="Times New Roman"/>
          <w:color w:val="000000"/>
          <w:sz w:val="20"/>
        </w:rPr>
        <w:t xml:space="preserve">percent by an unimpaired deposit account at the Company.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u w:val="single"/>
        </w:rPr>
        <w:t>Good Pass</w:t>
      </w:r>
      <w:r>
        <w:rPr>
          <w:color w:val="000000"/>
        </w:rPr>
        <w:t xml:space="preserve"> – </w:t>
      </w:r>
      <w:r>
        <w:rPr>
          <w:rFonts w:ascii="Times New Roman" w:hAnsi="Times New Roman"/>
          <w:color w:val="000000"/>
          <w:sz w:val="20"/>
        </w:rPr>
        <w:t xml:space="preserve">Loans to a new or existing borrower in a well-established enterprise in excellent financial condition with strong liquidity and a history of consistently high level of earnings, cash flow and debt service capacity.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u w:val="single"/>
        </w:rPr>
        <w:t>Satisfactory Pass</w:t>
      </w:r>
      <w:r>
        <w:rPr>
          <w:color w:val="000000"/>
        </w:rPr>
        <w:t xml:space="preserve"> – </w:t>
      </w:r>
      <w:r>
        <w:rPr>
          <w:rFonts w:ascii="Times New Roman" w:hAnsi="Times New Roman"/>
          <w:color w:val="000000"/>
          <w:sz w:val="20"/>
        </w:rPr>
        <w:t xml:space="preserve">Loans to a new or existing borrower of average strength with acceptable financial condition, satisfactory record of earnings and sufficient historical and projected cash flow to service the debt.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u w:val="single"/>
        </w:rPr>
        <w:t xml:space="preserve">Performance Pass </w:t>
      </w:r>
      <w:r>
        <w:rPr>
          <w:color w:val="000000"/>
        </w:rPr>
        <w:t xml:space="preserve">– </w:t>
      </w:r>
      <w:r>
        <w:rPr>
          <w:rFonts w:ascii="Times New Roman" w:hAnsi="Times New Roman"/>
          <w:color w:val="000000"/>
          <w:sz w:val="20"/>
        </w:rPr>
        <w:t xml:space="preserve">Existing loans that evidence strong payment history but document less than average strength, financial condition, record of earnings, or projected cash flows with which to service the debt.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u w:val="single"/>
        </w:rPr>
        <w:t>Special Mention</w:t>
      </w:r>
      <w:r>
        <w:rPr>
          <w:color w:val="000000"/>
        </w:rPr>
        <w:t xml:space="preserve"> – </w:t>
      </w:r>
      <w:r>
        <w:rPr>
          <w:rFonts w:ascii="Times New Roman" w:hAnsi="Times New Roman"/>
          <w:color w:val="000000"/>
          <w:sz w:val="20"/>
        </w:rPr>
        <w:t xml:space="preserve">Loans in this category are currently protected but show one or more potential weaknesses and risks which may inadequately protect collectability or borrower’s ability to meet repayment terms at some future date if the weakness or weaknesses are not monitored or remediated.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u w:val="single"/>
        </w:rPr>
        <w:t>Substandard</w:t>
      </w:r>
      <w:r>
        <w:rPr>
          <w:color w:val="000000"/>
        </w:rPr>
        <w:t xml:space="preserve"> – </w:t>
      </w:r>
      <w:r>
        <w:rPr>
          <w:rFonts w:ascii="Times New Roman" w:hAnsi="Times New Roman"/>
          <w:color w:val="000000"/>
          <w:sz w:val="20"/>
        </w:rPr>
        <w:t xml:space="preserve">Loans that are inadequately protected by the repayment capacity of the borrower or the current sound net worth of the collateral pledged, if any. Loans in this category have well defined weaknesses and risks that jeopardize the repayment. They are characterized by the distinct possibility that some loss may be sustained if the deficiencies are not remediated.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u w:val="single"/>
        </w:rPr>
        <w:t>Doubtful</w:t>
      </w:r>
      <w:r>
        <w:rPr>
          <w:color w:val="000000"/>
        </w:rPr>
        <w:t xml:space="preserve"> – </w:t>
      </w:r>
      <w:r>
        <w:rPr>
          <w:rFonts w:ascii="Times New Roman" w:hAnsi="Times New Roman"/>
          <w:color w:val="000000"/>
          <w:sz w:val="20"/>
        </w:rPr>
        <w:t xml:space="preserve">Loans that have all the weaknesses of loans classified as “Substandard” with the added characteristics that the weaknesses make collection or liquidation in full, on the basis of current existing facts, conditions, and values, highly questionable and improbable.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Loans within the top four categories above are considered pass rated, as commonly defined. Risk ratings are assigned as necessary to differentiate risk within the portfolio. Risk ratings are reviewed on an ongoing basis and revised to reflect changes in the borrowers’ financial condition and outlook, debt service coverage capability, repayment performance, collateral value and coverage as well as other considerations.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summarize total loans by year of origination and internally assigned credit risk ratings:</w:t>
      </w:r>
    </w:p>
    <w:p>
      <w:pPr>
        <w:pStyle w:val="TextBody"/>
        <w:bidi w:val="0"/>
        <w:jc w:val="both"/>
        <w:rPr/>
      </w:pPr>
      <w:r>
        <w:rPr/>
        <w:t> </w:t>
      </w:r>
    </w:p>
    <w:p>
      <w:pPr>
        <w:pStyle w:val="TextBody"/>
        <w:bidi w:val="0"/>
        <w:jc w:val="both"/>
        <w:rPr/>
      </w:pPr>
      <w:r>
        <w:rPr/>
        <w:t> </w:t>
      </w:r>
    </w:p>
    <w:tbl>
      <w:tblPr>
        <w:tblW w:w="10389" w:type="dxa"/>
        <w:jc w:val="left"/>
        <w:tblInd w:w="0" w:type="dxa"/>
        <w:tblLayout w:type="fixed"/>
        <w:tblCellMar>
          <w:top w:w="28" w:type="dxa"/>
          <w:left w:w="28" w:type="dxa"/>
          <w:bottom w:w="28" w:type="dxa"/>
          <w:right w:w="28" w:type="dxa"/>
        </w:tblCellMar>
      </w:tblPr>
      <w:tblGrid>
        <w:gridCol w:w="1556"/>
        <w:gridCol w:w="146"/>
        <w:gridCol w:w="196"/>
        <w:gridCol w:w="691"/>
        <w:gridCol w:w="146"/>
        <w:gridCol w:w="146"/>
        <w:gridCol w:w="196"/>
        <w:gridCol w:w="691"/>
        <w:gridCol w:w="146"/>
        <w:gridCol w:w="146"/>
        <w:gridCol w:w="196"/>
        <w:gridCol w:w="691"/>
        <w:gridCol w:w="146"/>
        <w:gridCol w:w="146"/>
        <w:gridCol w:w="196"/>
        <w:gridCol w:w="691"/>
        <w:gridCol w:w="146"/>
        <w:gridCol w:w="146"/>
        <w:gridCol w:w="196"/>
        <w:gridCol w:w="691"/>
        <w:gridCol w:w="146"/>
        <w:gridCol w:w="146"/>
        <w:gridCol w:w="196"/>
        <w:gridCol w:w="691"/>
        <w:gridCol w:w="146"/>
        <w:gridCol w:w="146"/>
        <w:gridCol w:w="196"/>
        <w:gridCol w:w="826"/>
        <w:gridCol w:w="591"/>
      </w:tblGrid>
      <w:tr>
        <w:trPr/>
        <w:tc>
          <w:tcPr>
            <w:tcW w:w="1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 and Prior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1-4 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416,086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Special mention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Substandard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1-4 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96,344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270,033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426,343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Multifamily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1,035,777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Special mention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Substandard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16,227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Multifamily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334,357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154,795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248,963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1,057,612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Nonresidential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534,177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Special mention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Substandard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Nonresidential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166,736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153,022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535,521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Construction and 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807,030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Special mention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Substandard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Construction and 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320,664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166,054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817,151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562,918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630,137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327,492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314,729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324,293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677,058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2,836,627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Business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71,267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Special mention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Substandard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Business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72,438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Consumer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Special mention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Substandard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Consumer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nonmortgage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73,015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loans,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568,996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672,074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344,174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320,819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324,442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679,137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2,909,642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jc w:val="both"/>
        <w:rPr/>
      </w:pPr>
      <w:r>
        <w:rPr/>
        <w:t> </w:t>
      </w:r>
    </w:p>
    <w:p>
      <w:pPr>
        <w:pStyle w:val="TextBody"/>
        <w:bidi w:val="0"/>
        <w:jc w:val="both"/>
        <w:rPr/>
      </w:pPr>
      <w:r>
        <w:rPr/>
        <w:t> </w:t>
      </w:r>
    </w:p>
    <w:tbl>
      <w:tblPr>
        <w:tblW w:w="10389" w:type="dxa"/>
        <w:jc w:val="left"/>
        <w:tblInd w:w="0" w:type="dxa"/>
        <w:tblLayout w:type="fixed"/>
        <w:tblCellMar>
          <w:top w:w="28" w:type="dxa"/>
          <w:left w:w="28" w:type="dxa"/>
          <w:bottom w:w="28" w:type="dxa"/>
          <w:right w:w="28" w:type="dxa"/>
        </w:tblCellMar>
      </w:tblPr>
      <w:tblGrid>
        <w:gridCol w:w="1556"/>
        <w:gridCol w:w="146"/>
        <w:gridCol w:w="196"/>
        <w:gridCol w:w="691"/>
        <w:gridCol w:w="146"/>
        <w:gridCol w:w="146"/>
        <w:gridCol w:w="196"/>
        <w:gridCol w:w="691"/>
        <w:gridCol w:w="146"/>
        <w:gridCol w:w="146"/>
        <w:gridCol w:w="196"/>
        <w:gridCol w:w="691"/>
        <w:gridCol w:w="146"/>
        <w:gridCol w:w="146"/>
        <w:gridCol w:w="196"/>
        <w:gridCol w:w="691"/>
        <w:gridCol w:w="146"/>
        <w:gridCol w:w="146"/>
        <w:gridCol w:w="196"/>
        <w:gridCol w:w="691"/>
        <w:gridCol w:w="146"/>
        <w:gridCol w:w="146"/>
        <w:gridCol w:w="196"/>
        <w:gridCol w:w="691"/>
        <w:gridCol w:w="146"/>
        <w:gridCol w:w="146"/>
        <w:gridCol w:w="196"/>
        <w:gridCol w:w="826"/>
        <w:gridCol w:w="591"/>
      </w:tblGrid>
      <w:tr>
        <w:trPr/>
        <w:tc>
          <w:tcPr>
            <w:tcW w:w="1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2020 and Prior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1-4 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424,043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Special mention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Substandard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1-4 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227,558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434,374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Multifamily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732,158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Special mention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Substandard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Multifamily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149,358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111,591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157,228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195,737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756,542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Nonresidential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523,596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Special mention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Substandard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Nonresidential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170,449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77,935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526,210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Construction and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838,009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Special mention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Substandard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Construction and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279,271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143,515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363,585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854,096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602,921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515,818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388,468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182,555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544,311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2,571,222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Business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52,393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Special mention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Substandard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Business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53,063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Consumer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Special mention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Substandard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Consumer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nonmortgage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53,688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loans,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630,158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354,496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522,399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388,649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183,096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546,112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2,624,910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An aging analysis of loans, as of June 30, 2026 and December 31, 2025,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87"/>
        <w:gridCol w:w="146"/>
        <w:gridCol w:w="196"/>
        <w:gridCol w:w="826"/>
        <w:gridCol w:w="146"/>
        <w:gridCol w:w="146"/>
        <w:gridCol w:w="204"/>
        <w:gridCol w:w="532"/>
        <w:gridCol w:w="146"/>
        <w:gridCol w:w="146"/>
        <w:gridCol w:w="204"/>
        <w:gridCol w:w="532"/>
        <w:gridCol w:w="146"/>
        <w:gridCol w:w="146"/>
        <w:gridCol w:w="196"/>
        <w:gridCol w:w="601"/>
        <w:gridCol w:w="146"/>
        <w:gridCol w:w="146"/>
        <w:gridCol w:w="196"/>
        <w:gridCol w:w="826"/>
        <w:gridCol w:w="146"/>
        <w:gridCol w:w="146"/>
        <w:gridCol w:w="232"/>
        <w:gridCol w:w="714"/>
        <w:gridCol w:w="146"/>
        <w:gridCol w:w="146"/>
        <w:gridCol w:w="277"/>
        <w:gridCol w:w="489"/>
        <w:gridCol w:w="395"/>
      </w:tblGrid>
      <w:tr>
        <w:trPr/>
        <w:tc>
          <w:tcPr>
            <w:tcW w:w="1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8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7"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90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90 Days</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 More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Nonaccrual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 More</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Accruing</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7"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1-4 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Multifamily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Nonresidential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Construction and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Consumer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2,883,076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2,909,642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31"/>
        <w:gridCol w:w="146"/>
        <w:gridCol w:w="196"/>
        <w:gridCol w:w="826"/>
        <w:gridCol w:w="146"/>
        <w:gridCol w:w="146"/>
        <w:gridCol w:w="196"/>
        <w:gridCol w:w="601"/>
        <w:gridCol w:w="146"/>
        <w:gridCol w:w="146"/>
        <w:gridCol w:w="203"/>
        <w:gridCol w:w="530"/>
        <w:gridCol w:w="146"/>
        <w:gridCol w:w="146"/>
        <w:gridCol w:w="196"/>
        <w:gridCol w:w="601"/>
        <w:gridCol w:w="146"/>
        <w:gridCol w:w="146"/>
        <w:gridCol w:w="196"/>
        <w:gridCol w:w="826"/>
        <w:gridCol w:w="146"/>
        <w:gridCol w:w="146"/>
        <w:gridCol w:w="232"/>
        <w:gridCol w:w="714"/>
        <w:gridCol w:w="146"/>
        <w:gridCol w:w="146"/>
        <w:gridCol w:w="277"/>
        <w:gridCol w:w="489"/>
        <w:gridCol w:w="393"/>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5"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90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90 Days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 More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Nonaccrual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 More</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Accruing</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5"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1-4 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Multifamily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Nonresidential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Construction and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854,096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Consumer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2,584,011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2,624,910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schedules detail the composition of the allowance for credit losses on loans and the related recorded investment in loans as of and for the six months ended June 30, 2026 and 2025, and as of and for the year ended December 31,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44"/>
        <w:gridCol w:w="146"/>
        <w:gridCol w:w="196"/>
        <w:gridCol w:w="691"/>
        <w:gridCol w:w="146"/>
        <w:gridCol w:w="146"/>
        <w:gridCol w:w="196"/>
        <w:gridCol w:w="826"/>
        <w:gridCol w:w="146"/>
        <w:gridCol w:w="146"/>
        <w:gridCol w:w="218"/>
        <w:gridCol w:w="773"/>
        <w:gridCol w:w="146"/>
        <w:gridCol w:w="146"/>
        <w:gridCol w:w="196"/>
        <w:gridCol w:w="691"/>
        <w:gridCol w:w="146"/>
        <w:gridCol w:w="146"/>
        <w:gridCol w:w="196"/>
        <w:gridCol w:w="601"/>
        <w:gridCol w:w="166"/>
        <w:gridCol w:w="146"/>
        <w:gridCol w:w="241"/>
        <w:gridCol w:w="465"/>
        <w:gridCol w:w="166"/>
        <w:gridCol w:w="146"/>
        <w:gridCol w:w="196"/>
        <w:gridCol w:w="826"/>
        <w:gridCol w:w="411"/>
      </w:tblGrid>
      <w:tr>
        <w:trPr/>
        <w:tc>
          <w:tcPr>
            <w:tcW w:w="1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1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4"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Six Months Ended June 30, 2026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Mortgage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Nonmortgage</w:t>
              <w:br/>
              <w:t>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1-4 </w:t>
              <w:br/>
              <w:t xml:space="preserve">Family </w:t>
              <w:br/>
              <w:t>Residential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Multifamily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Nonresidential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Construction</w:t>
              <w:br/>
              <w:t>and Land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Business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Consumer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Total for </w:t>
              <w:br/>
              <w:t>the Period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4"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Balance,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(benefit) charged to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Charge-offs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Balance,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27,554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 individually</w:t>
              <w:br/>
              <w:t>   evaluated for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 collectively</w:t>
              <w:br/>
              <w:t>   evaluated for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27,477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27,554</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1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Ending balance: individually </w:t>
              <w:br/>
              <w:t>   evaluated for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23,568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Ending balance: collectively </w:t>
              <w:br/>
              <w:t>   evaluated for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1,045,479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535,521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812,111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72,361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2,886,074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426,343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1,057,612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535,521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817,151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2,909,642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4"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 Ended June 30, 2026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Mortgage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Nonmortgage 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1-4 </w:t>
              <w:br/>
              <w:t xml:space="preserve">Family </w:t>
              <w:br/>
              <w:t>Residential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Multifamily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Nonresidential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Construction</w:t>
              <w:br/>
              <w:t>and Land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Business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Consumer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Total for </w:t>
              <w:br/>
              <w:t>the Period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4"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Allowance for loan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26,238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(benefit) charged to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Charge-offs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Balance,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27,554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39"/>
        <w:gridCol w:w="146"/>
        <w:gridCol w:w="196"/>
        <w:gridCol w:w="691"/>
        <w:gridCol w:w="166"/>
        <w:gridCol w:w="146"/>
        <w:gridCol w:w="196"/>
        <w:gridCol w:w="691"/>
        <w:gridCol w:w="146"/>
        <w:gridCol w:w="146"/>
        <w:gridCol w:w="218"/>
        <w:gridCol w:w="773"/>
        <w:gridCol w:w="146"/>
        <w:gridCol w:w="146"/>
        <w:gridCol w:w="196"/>
        <w:gridCol w:w="691"/>
        <w:gridCol w:w="166"/>
        <w:gridCol w:w="146"/>
        <w:gridCol w:w="196"/>
        <w:gridCol w:w="601"/>
        <w:gridCol w:w="166"/>
        <w:gridCol w:w="146"/>
        <w:gridCol w:w="241"/>
        <w:gridCol w:w="465"/>
        <w:gridCol w:w="166"/>
        <w:gridCol w:w="146"/>
        <w:gridCol w:w="196"/>
        <w:gridCol w:w="826"/>
        <w:gridCol w:w="411"/>
      </w:tblGrid>
      <w:tr>
        <w:trPr/>
        <w:tc>
          <w:tcPr>
            <w:tcW w:w="1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9"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Six Months Ended June 30, 2025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4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Mortgage 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Nonmortgage 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1-4 </w:t>
              <w:br/>
              <w:t xml:space="preserve">Family </w:t>
              <w:br/>
              <w:t>Residential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Multifamily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Nonresidential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Construction</w:t>
              <w:br/>
              <w:t>and Land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Business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Consumer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Total for </w:t>
              <w:br/>
              <w:t>the Period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9"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Allowance for loan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Balance,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(Benefit) provision charged to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Charge-offs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Balance,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24,100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 individually</w:t>
              <w:br/>
              <w:t>   evaluated for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 collectively</w:t>
              <w:br/>
              <w:t>   evaluated for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24,100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Ending balance: individually </w:t>
              <w:br/>
              <w:t>   evaluated for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19,474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Ending balance: collectively </w:t>
              <w:br/>
              <w:t>   evaluated for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681,967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404,107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878,655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2,462,732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452,350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693,670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404,512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883,462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2,482,206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9"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For the Three Months Ended June 30, 2025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4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Mortgage 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Nonmortgage 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1-4 </w:t>
              <w:br/>
              <w:t xml:space="preserve">Family </w:t>
              <w:br/>
              <w:t>Residential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Multifamily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Nonresidential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Construction</w:t>
              <w:br/>
              <w:t>and Land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Business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Consumer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Total for </w:t>
              <w:br/>
              <w:t>the Period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9"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Allowance for loan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Balance,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(Benefit) provision charged to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Charge-offs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Balance,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24,100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39"/>
        <w:gridCol w:w="146"/>
        <w:gridCol w:w="196"/>
        <w:gridCol w:w="691"/>
        <w:gridCol w:w="166"/>
        <w:gridCol w:w="146"/>
        <w:gridCol w:w="196"/>
        <w:gridCol w:w="691"/>
        <w:gridCol w:w="146"/>
        <w:gridCol w:w="146"/>
        <w:gridCol w:w="218"/>
        <w:gridCol w:w="773"/>
        <w:gridCol w:w="146"/>
        <w:gridCol w:w="146"/>
        <w:gridCol w:w="196"/>
        <w:gridCol w:w="691"/>
        <w:gridCol w:w="166"/>
        <w:gridCol w:w="146"/>
        <w:gridCol w:w="196"/>
        <w:gridCol w:w="601"/>
        <w:gridCol w:w="166"/>
        <w:gridCol w:w="146"/>
        <w:gridCol w:w="241"/>
        <w:gridCol w:w="465"/>
        <w:gridCol w:w="166"/>
        <w:gridCol w:w="146"/>
        <w:gridCol w:w="196"/>
        <w:gridCol w:w="826"/>
        <w:gridCol w:w="411"/>
      </w:tblGrid>
      <w:tr>
        <w:trPr/>
        <w:tc>
          <w:tcPr>
            <w:tcW w:w="1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9"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Year Ended December 31, 2025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4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Mortgage 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Nonmortgage 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1-4 </w:t>
              <w:br/>
              <w:t xml:space="preserve">Family </w:t>
              <w:br/>
              <w:t>Residential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Multifamily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Nonresidential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Construction</w:t>
              <w:br/>
              <w:t>and Land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Business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Consumer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Total for </w:t>
              <w:br/>
              <w:t>the Period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9"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Allowance for loan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Balance, 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(Benefit) provision charged to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Charge-offs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Balance,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25,449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 individually</w:t>
              <w:br/>
              <w:t>   evaluated for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 collectively</w:t>
              <w:br/>
              <w:t>   evaluated for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24,782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25,449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 individually</w:t>
              <w:br/>
              <w:t>   evaluated for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26,863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 collectively</w:t>
              <w:br/>
              <w:t>   evaluated for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429,537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743,430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845,849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2,598,047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434,374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756,542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526,210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854,096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2,624,910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summarize gross charge-offs by vintage:</w:t>
      </w:r>
    </w:p>
    <w:p>
      <w:pPr>
        <w:pStyle w:val="TextBody"/>
        <w:bidi w:val="0"/>
        <w:jc w:val="both"/>
        <w:rPr/>
      </w:pPr>
      <w:r>
        <w:rPr/>
        <w:t> </w:t>
      </w:r>
    </w:p>
    <w:tbl>
      <w:tblPr>
        <w:tblW w:w="10072" w:type="dxa"/>
        <w:jc w:val="left"/>
        <w:tblInd w:w="0" w:type="dxa"/>
        <w:tblLayout w:type="fixed"/>
        <w:tblCellMar>
          <w:top w:w="28" w:type="dxa"/>
          <w:left w:w="28" w:type="dxa"/>
          <w:bottom w:w="28" w:type="dxa"/>
          <w:right w:w="28" w:type="dxa"/>
        </w:tblCellMar>
      </w:tblPr>
      <w:tblGrid>
        <w:gridCol w:w="3256"/>
        <w:gridCol w:w="146"/>
        <w:gridCol w:w="196"/>
        <w:gridCol w:w="346"/>
        <w:gridCol w:w="146"/>
        <w:gridCol w:w="146"/>
        <w:gridCol w:w="196"/>
        <w:gridCol w:w="346"/>
        <w:gridCol w:w="146"/>
        <w:gridCol w:w="146"/>
        <w:gridCol w:w="196"/>
        <w:gridCol w:w="376"/>
        <w:gridCol w:w="146"/>
        <w:gridCol w:w="146"/>
        <w:gridCol w:w="196"/>
        <w:gridCol w:w="376"/>
        <w:gridCol w:w="146"/>
        <w:gridCol w:w="146"/>
        <w:gridCol w:w="196"/>
        <w:gridCol w:w="286"/>
        <w:gridCol w:w="146"/>
        <w:gridCol w:w="146"/>
        <w:gridCol w:w="426"/>
        <w:gridCol w:w="819"/>
        <w:gridCol w:w="146"/>
        <w:gridCol w:w="146"/>
        <w:gridCol w:w="196"/>
        <w:gridCol w:w="376"/>
        <w:gridCol w:w="3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 and Prior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9"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 the Six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Business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charge-offs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10132" w:type="dxa"/>
        <w:jc w:val="left"/>
        <w:tblInd w:w="0" w:type="dxa"/>
        <w:tblLayout w:type="fixed"/>
        <w:tblCellMar>
          <w:top w:w="28" w:type="dxa"/>
          <w:left w:w="28" w:type="dxa"/>
          <w:bottom w:w="28" w:type="dxa"/>
          <w:right w:w="28" w:type="dxa"/>
        </w:tblCellMar>
      </w:tblPr>
      <w:tblGrid>
        <w:gridCol w:w="3256"/>
        <w:gridCol w:w="146"/>
        <w:gridCol w:w="196"/>
        <w:gridCol w:w="346"/>
        <w:gridCol w:w="146"/>
        <w:gridCol w:w="146"/>
        <w:gridCol w:w="196"/>
        <w:gridCol w:w="376"/>
        <w:gridCol w:w="146"/>
        <w:gridCol w:w="146"/>
        <w:gridCol w:w="196"/>
        <w:gridCol w:w="376"/>
        <w:gridCol w:w="146"/>
        <w:gridCol w:w="146"/>
        <w:gridCol w:w="196"/>
        <w:gridCol w:w="346"/>
        <w:gridCol w:w="146"/>
        <w:gridCol w:w="146"/>
        <w:gridCol w:w="196"/>
        <w:gridCol w:w="346"/>
        <w:gridCol w:w="146"/>
        <w:gridCol w:w="146"/>
        <w:gridCol w:w="450"/>
        <w:gridCol w:w="795"/>
        <w:gridCol w:w="146"/>
        <w:gridCol w:w="146"/>
        <w:gridCol w:w="196"/>
        <w:gridCol w:w="376"/>
        <w:gridCol w:w="3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2020 and Prior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9"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 the Six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1-4 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Business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Consumer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charge-offs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Loans are evaluated for collectability when current information and events indicate that all amounts due may not be collectible according to the contractual terms of the related loan agreements. Loans are identified for individual evaluation by applying normal loan review procedures in accordance with the allowance for credit losses methodology. Management periodically assesses loans to determine whether they continue to share similar risk characteristics with their respective pools. Any loan that is, or will potentially be, no longer performing in accordance with the terms of the original loan contract is evaluated individually when it no longer shares similar risk characteristics with the pool.</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information relates to non-accrual loans as of and for the six months ended June 30, 2026 and 2025 and as of and for the year ended December 31,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5"/>
        <w:gridCol w:w="146"/>
        <w:gridCol w:w="211"/>
        <w:gridCol w:w="676"/>
        <w:gridCol w:w="146"/>
        <w:gridCol w:w="146"/>
        <w:gridCol w:w="214"/>
        <w:gridCol w:w="687"/>
        <w:gridCol w:w="146"/>
        <w:gridCol w:w="146"/>
        <w:gridCol w:w="300"/>
        <w:gridCol w:w="601"/>
        <w:gridCol w:w="146"/>
        <w:gridCol w:w="146"/>
        <w:gridCol w:w="214"/>
        <w:gridCol w:w="687"/>
        <w:gridCol w:w="146"/>
        <w:gridCol w:w="146"/>
        <w:gridCol w:w="284"/>
        <w:gridCol w:w="572"/>
        <w:gridCol w:w="146"/>
        <w:gridCol w:w="146"/>
        <w:gridCol w:w="214"/>
        <w:gridCol w:w="687"/>
        <w:gridCol w:w="146"/>
        <w:gridCol w:w="146"/>
        <w:gridCol w:w="409"/>
        <w:gridCol w:w="544"/>
        <w:gridCol w:w="392"/>
      </w:tblGrid>
      <w:tr>
        <w:trPr/>
        <w:tc>
          <w:tcPr>
            <w:tcW w:w="1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Recorded</w:t>
              <w:br/>
              <w:t>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Recorded</w:t>
              <w:br/>
              <w:t>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Income</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As of and For the 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 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Recognized</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a Cash Basis</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52"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1-4 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Multifamily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Nonresidential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Construction and 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Consumer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Recorded</w:t>
              <w:br/>
              <w:t>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Recorded</w:t>
              <w:br/>
              <w:t>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Income</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As of and For the 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 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Recognized</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a Cash Basis</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52"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1-4 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Multifamily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Nonresidential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Construction and 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Consumer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07"/>
        <w:gridCol w:w="146"/>
        <w:gridCol w:w="211"/>
        <w:gridCol w:w="676"/>
        <w:gridCol w:w="146"/>
        <w:gridCol w:w="146"/>
        <w:gridCol w:w="214"/>
        <w:gridCol w:w="687"/>
        <w:gridCol w:w="146"/>
        <w:gridCol w:w="146"/>
        <w:gridCol w:w="300"/>
        <w:gridCol w:w="601"/>
        <w:gridCol w:w="146"/>
        <w:gridCol w:w="146"/>
        <w:gridCol w:w="214"/>
        <w:gridCol w:w="687"/>
        <w:gridCol w:w="146"/>
        <w:gridCol w:w="146"/>
        <w:gridCol w:w="284"/>
        <w:gridCol w:w="572"/>
        <w:gridCol w:w="146"/>
        <w:gridCol w:w="146"/>
        <w:gridCol w:w="214"/>
        <w:gridCol w:w="687"/>
        <w:gridCol w:w="146"/>
        <w:gridCol w:w="146"/>
        <w:gridCol w:w="409"/>
        <w:gridCol w:w="552"/>
        <w:gridCol w:w="392"/>
      </w:tblGrid>
      <w:tr>
        <w:trPr/>
        <w:tc>
          <w:tcPr>
            <w:tcW w:w="16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Recorded</w:t>
              <w:br/>
              <w:t>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Recorded</w:t>
              <w:br/>
              <w:t>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Income</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As of and for the Year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 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Recognized</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a Cash Basis</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0"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0" w:type="dxa"/>
            <w:gridSpan w:val="26"/>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1-4 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Multifamily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Nonresidential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Construction and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Consumer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Collateral Dependent Loans</w:t>
      </w:r>
    </w:p>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 loan is considered collateral dependent when the borrower is experiencing financial difficulty and repayment is expected to be provided substantially through the operation or sale of the collateral.</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had collateral dependent loans which were individually evaluated to determine expected credit losses as of the dates indicated.</w:t>
      </w:r>
    </w:p>
    <w:p>
      <w:pPr>
        <w:pStyle w:val="TextBody"/>
        <w:bidi w:val="0"/>
        <w:jc w:val="left"/>
        <w:rPr/>
      </w:pPr>
      <w:r>
        <w:rPr/>
        <w:t> </w:t>
      </w:r>
    </w:p>
    <w:tbl>
      <w:tblPr>
        <w:tblW w:w="7571" w:type="dxa"/>
        <w:jc w:val="left"/>
        <w:tblInd w:w="0" w:type="dxa"/>
        <w:tblLayout w:type="fixed"/>
        <w:tblCellMar>
          <w:top w:w="28" w:type="dxa"/>
          <w:left w:w="28" w:type="dxa"/>
          <w:bottom w:w="28" w:type="dxa"/>
          <w:right w:w="28" w:type="dxa"/>
        </w:tblCellMar>
      </w:tblPr>
      <w:tblGrid>
        <w:gridCol w:w="1926"/>
        <w:gridCol w:w="146"/>
        <w:gridCol w:w="232"/>
        <w:gridCol w:w="714"/>
        <w:gridCol w:w="146"/>
        <w:gridCol w:w="146"/>
        <w:gridCol w:w="422"/>
        <w:gridCol w:w="748"/>
        <w:gridCol w:w="146"/>
        <w:gridCol w:w="146"/>
        <w:gridCol w:w="232"/>
        <w:gridCol w:w="714"/>
        <w:gridCol w:w="146"/>
        <w:gridCol w:w="146"/>
        <w:gridCol w:w="422"/>
        <w:gridCol w:w="748"/>
        <w:gridCol w:w="391"/>
      </w:tblGrid>
      <w:tr>
        <w:trPr/>
        <w:tc>
          <w:tcPr>
            <w:tcW w:w="1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Associated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Associated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Allowance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Allowance for</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Dependent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Dependent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Credit Losses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1-4 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Multifamily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Construction and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Loan Modifications to Borrowers Experiencing Financial Difficulty</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adopted Accounting Standards Update (“ASU”) 2022-02 on January 1, 2023. Since adoption, the Company has modified one loan with borrowers experiencing financial difficulty. These modifications may include a reduction in interest rate, an extension in term, principal forgiveness and/or other than insignificant payment delay. At June 30, 2026 and December 31, 2025, there was one loan in the amount of $0.2 million with modifications to a borrower experiencing financial difficulty.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Prior to the adoption of ASU 2022-02 on January 1, 2023, the Company classified certain loans as troubled debt restructuring (“TDR”) loans when credit terms to a borrower in financial difficulty were modified, in accordance with ASC 310-40. With the adoption of ASU 2022-02 as of January 1, 2023, the Company has ceased to recognize or measure for new TDRs but those existing at December 31, 2022 will remain until settled.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At June 30, 2026 and December 31, 2025, there were 13 and 14 troubled debt restructured loans totaling $3.5 million and $3.6 million, respectively, of which $3.1 million and $3.2 million are on accrual status at June 30, 2026 and December 31, 2025, respectively. There were no commitments to lend additional funds to borrowers whose loans have been modified in a troubled debt restructuring.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Off-Balance Sheet Credit Losses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Also included within the scope of the CECL standard are off-balance sheet loan commitments, which includes the unfunded portion of committed lines of credit and construction loans.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estimates expected credit losses over the contractual period in which the company is exposed to credit risk through a contractual obligation to extend credit, unless that obligation is unconditionally cancellable by the Company. The allowance for credit losses on off-balance sheet exposures is adjusted as a provision for credit loss expense. The Company uses similar assumptions and risk factors that are developed for collectively evaluated financing receivables. This estimate includes consideration of the likelihood that funding will occur and an estimate of expected credit losses on commitments to be funded over its estimated life.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June 30, 2026 and December 31, 2025, the allowance for off-balance sheet credit losses was $3.0 million and $2.1 million, respectively, which is included in the "Other liabilities" on the Consolidated Statements of Financial Condition. During the three months ended June 30, 2026 and 2025, the Company had $0.4 million and $0.3 million charged for the provision for credit losses, respectively, and during the six months ending June 30, 2026 and 2025, $0.8 million charged for the provision for credit losses and $0.7 million in benefit for credit losses, respectively, for off-balance items, which are included in "Provision for loan losses" in the Consolidated Statements of Operations.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6. Leases</w:t>
      </w:r>
    </w:p>
    <w:p>
      <w:pPr>
        <w:pStyle w:val="TextBody"/>
        <w:bidi w:val="0"/>
        <w:jc w:val="both"/>
        <w:rPr>
          <w:rFonts w:ascii="Times New Roman" w:hAnsi="Times New Roman"/>
          <w:color w:val="000000"/>
          <w:sz w:val="20"/>
        </w:rPr>
      </w:pPr>
      <w:r>
        <w:rPr>
          <w:rFonts w:ascii="Times New Roman" w:hAnsi="Times New Roman"/>
          <w:color w:val="000000"/>
          <w:sz w:val="20"/>
        </w:rPr>
        <w:t>The Company has 16 operating leases for branches and office spaces (including headquarters) and six operating leases for equipment at both June 30, 2026 and December 31, 2025. Our leases have remaining lease terms ranging from less than one year to approximately 13.6 years, none of which has a renewal option reasonably certain of exercise, which has been reflected in the Company’s calculation of lease term. Certain leases have escalation clauses for operating expenses and real estate taxes. The Company’s non-cancelable operating lease agreements expire through February of 2040.</w:t>
      </w:r>
    </w:p>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Supplemental balance sheet information related to leases was as follows:</w:t>
      </w:r>
    </w:p>
    <w:p>
      <w:pPr>
        <w:pStyle w:val="TextBody"/>
        <w:bidi w:val="0"/>
        <w:jc w:val="left"/>
        <w:rPr/>
      </w:pPr>
      <w:r>
        <w:rPr/>
        <w:t> </w:t>
      </w:r>
    </w:p>
    <w:tbl>
      <w:tblPr>
        <w:tblW w:w="7766" w:type="dxa"/>
        <w:jc w:val="left"/>
        <w:tblInd w:w="0" w:type="dxa"/>
        <w:tblLayout w:type="fixed"/>
        <w:tblCellMar>
          <w:top w:w="28" w:type="dxa"/>
          <w:left w:w="28" w:type="dxa"/>
          <w:bottom w:w="28" w:type="dxa"/>
          <w:right w:w="28" w:type="dxa"/>
        </w:tblCellMar>
      </w:tblPr>
      <w:tblGrid>
        <w:gridCol w:w="4696"/>
        <w:gridCol w:w="146"/>
        <w:gridCol w:w="221"/>
        <w:gridCol w:w="710"/>
        <w:gridCol w:w="271"/>
        <w:gridCol w:w="146"/>
        <w:gridCol w:w="299"/>
        <w:gridCol w:w="961"/>
        <w:gridCol w:w="316"/>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ROU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components of lease expense and cash flow information related to leases were as follows:</w:t>
      </w:r>
    </w:p>
    <w:p>
      <w:pPr>
        <w:pStyle w:val="TextBody"/>
        <w:bidi w:val="0"/>
        <w:jc w:val="left"/>
        <w:rPr/>
      </w:pPr>
      <w:r>
        <w:rPr/>
        <w:t> </w:t>
      </w:r>
    </w:p>
    <w:tbl>
      <w:tblPr>
        <w:tblW w:w="9069" w:type="dxa"/>
        <w:jc w:val="left"/>
        <w:tblInd w:w="0" w:type="dxa"/>
        <w:tblLayout w:type="fixed"/>
        <w:tblCellMar>
          <w:top w:w="28" w:type="dxa"/>
          <w:left w:w="28" w:type="dxa"/>
          <w:bottom w:w="28" w:type="dxa"/>
          <w:right w:w="28" w:type="dxa"/>
        </w:tblCellMar>
      </w:tblPr>
      <w:tblGrid>
        <w:gridCol w:w="2001"/>
        <w:gridCol w:w="346"/>
        <w:gridCol w:w="2281"/>
        <w:gridCol w:w="146"/>
        <w:gridCol w:w="211"/>
        <w:gridCol w:w="571"/>
        <w:gridCol w:w="146"/>
        <w:gridCol w:w="146"/>
        <w:gridCol w:w="211"/>
        <w:gridCol w:w="571"/>
        <w:gridCol w:w="146"/>
        <w:gridCol w:w="146"/>
        <w:gridCol w:w="211"/>
        <w:gridCol w:w="571"/>
        <w:gridCol w:w="146"/>
        <w:gridCol w:w="146"/>
        <w:gridCol w:w="211"/>
        <w:gridCol w:w="571"/>
        <w:gridCol w:w="291"/>
      </w:tblGrid>
      <w:tr>
        <w:trPr/>
        <w:tc>
          <w:tcPr>
            <w:tcW w:w="20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 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Cost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cost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cost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lease cost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Variable lease cost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cost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minimum annual rental payments under the terms of the leases are as follows at June 30, 2026:</w:t>
      </w:r>
    </w:p>
    <w:p>
      <w:pPr>
        <w:pStyle w:val="TextBody"/>
        <w:bidi w:val="0"/>
        <w:jc w:val="left"/>
        <w:rPr/>
      </w:pPr>
      <w:r>
        <w:rPr/>
        <w:t> </w:t>
      </w:r>
    </w:p>
    <w:tbl>
      <w:tblPr>
        <w:tblW w:w="4913" w:type="dxa"/>
        <w:jc w:val="left"/>
        <w:tblInd w:w="0" w:type="dxa"/>
        <w:tblLayout w:type="fixed"/>
        <w:tblCellMar>
          <w:top w:w="28" w:type="dxa"/>
          <w:left w:w="28" w:type="dxa"/>
          <w:bottom w:w="28" w:type="dxa"/>
          <w:right w:w="28" w:type="dxa"/>
        </w:tblCellMar>
      </w:tblPr>
      <w:tblGrid>
        <w:gridCol w:w="3056"/>
        <w:gridCol w:w="146"/>
        <w:gridCol w:w="314"/>
        <w:gridCol w:w="1006"/>
        <w:gridCol w:w="391"/>
      </w:tblGrid>
      <w:tr>
        <w:trPr/>
        <w:tc>
          <w:tcPr>
            <w:tcW w:w="3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Minimum Rental</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Years ended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Minimum payments required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implied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7. Deposits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Deposits at June 30, 2026 and December 31, 2025 are summarized as follows:</w:t>
      </w:r>
    </w:p>
    <w:p>
      <w:pPr>
        <w:pStyle w:val="TextBody"/>
        <w:bidi w:val="0"/>
        <w:jc w:val="both"/>
        <w:rPr/>
      </w:pPr>
      <w:r>
        <w:rPr/>
        <w:t> </w:t>
      </w:r>
    </w:p>
    <w:tbl>
      <w:tblPr>
        <w:tblW w:w="8154" w:type="dxa"/>
        <w:jc w:val="left"/>
        <w:tblInd w:w="0" w:type="dxa"/>
        <w:tblLayout w:type="fixed"/>
        <w:tblCellMar>
          <w:top w:w="28" w:type="dxa"/>
          <w:left w:w="28" w:type="dxa"/>
          <w:bottom w:w="28" w:type="dxa"/>
          <w:right w:w="28" w:type="dxa"/>
        </w:tblCellMar>
      </w:tblPr>
      <w:tblGrid>
        <w:gridCol w:w="4841"/>
        <w:gridCol w:w="146"/>
        <w:gridCol w:w="211"/>
        <w:gridCol w:w="931"/>
        <w:gridCol w:w="146"/>
        <w:gridCol w:w="146"/>
        <w:gridCol w:w="211"/>
        <w:gridCol w:w="931"/>
        <w:gridCol w:w="591"/>
      </w:tblGrid>
      <w:tr>
        <w:trPr/>
        <w:tc>
          <w:tcPr>
            <w:tcW w:w="4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Demand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208,250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Interest-bearing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NOW/IOLA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84,012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Money market accounts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779,532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Reciprocal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Savings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117,708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NOW, money market, reciprocal and savings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1,281,105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1,133,882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Certificates of deposit of $250K or more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Brokered certificates of deposits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Listing service deposits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Certificates of deposit less than $250K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429,911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738,785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704,503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interest-bearing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2,019,890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1,838,385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2,271,809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2,046,635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sz w:val="20"/>
        </w:rPr>
      </w:pPr>
      <w:r>
        <w:rPr>
          <w:rFonts w:ascii="Times New Roman" w:hAnsi="Times New Roman"/>
          <w:color w:val="000000"/>
          <w:sz w:val="18"/>
        </w:rPr>
        <w:t>At June 30, 2026</w:t>
      </w:r>
      <w:r>
        <w:rPr>
          <w:rFonts w:ascii="Times New Roman" w:hAnsi="Times New Roman"/>
          <w:color w:val="000000"/>
          <w:sz w:val="20"/>
        </w:rPr>
        <w:t xml:space="preserve"> </w:t>
      </w:r>
      <w:r>
        <w:rPr>
          <w:rFonts w:ascii="Times New Roman" w:hAnsi="Times New Roman"/>
          <w:color w:val="000000"/>
          <w:sz w:val="18"/>
        </w:rPr>
        <w:t>and December 31, 2025, there were $50.2</w:t>
      </w:r>
      <w:r>
        <w:rPr>
          <w:rFonts w:ascii="Times New Roman" w:hAnsi="Times New Roman"/>
          <w:color w:val="000000"/>
          <w:sz w:val="20"/>
        </w:rPr>
        <w:t xml:space="preserve"> </w:t>
      </w:r>
      <w:r>
        <w:rPr>
          <w:rFonts w:ascii="Times New Roman" w:hAnsi="Times New Roman"/>
          <w:color w:val="000000"/>
          <w:sz w:val="18"/>
        </w:rPr>
        <w:t>million and $0.3</w:t>
      </w:r>
      <w:r>
        <w:rPr>
          <w:rFonts w:ascii="Times New Roman" w:hAnsi="Times New Roman"/>
          <w:color w:val="000000"/>
          <w:sz w:val="20"/>
        </w:rPr>
        <w:t xml:space="preserve"> </w:t>
      </w:r>
      <w:r>
        <w:rPr>
          <w:rFonts w:ascii="Times New Roman" w:hAnsi="Times New Roman"/>
          <w:color w:val="000000"/>
          <w:sz w:val="18"/>
        </w:rPr>
        <w:t>million, respectively,</w:t>
      </w:r>
      <w:r>
        <w:rPr>
          <w:rFonts w:ascii="Times New Roman" w:hAnsi="Times New Roman"/>
          <w:color w:val="000000"/>
          <w:sz w:val="20"/>
        </w:rPr>
        <w:t xml:space="preserve"> </w:t>
      </w:r>
      <w:r>
        <w:rPr>
          <w:rFonts w:ascii="Times New Roman" w:hAnsi="Times New Roman"/>
          <w:color w:val="000000"/>
          <w:sz w:val="18"/>
        </w:rPr>
        <w:t>in brokered deposits.</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80" w:after="283"/>
        <w:jc w:val="both"/>
        <w:rPr>
          <w:rFonts w:ascii="Times New Roman" w:hAnsi="Times New Roman"/>
          <w:sz w:val="20"/>
        </w:rPr>
      </w:pPr>
      <w:r>
        <w:rPr>
          <w:rFonts w:ascii="Times New Roman" w:hAnsi="Times New Roman"/>
          <w:color w:val="000000"/>
          <w:sz w:val="18"/>
        </w:rPr>
        <w:t>At June 30, 2026</w:t>
      </w:r>
      <w:r>
        <w:rPr>
          <w:rFonts w:ascii="Times New Roman" w:hAnsi="Times New Roman"/>
          <w:color w:val="000000"/>
          <w:sz w:val="20"/>
        </w:rPr>
        <w:t xml:space="preserve"> </w:t>
      </w:r>
      <w:r>
        <w:rPr>
          <w:rFonts w:ascii="Times New Roman" w:hAnsi="Times New Roman"/>
          <w:color w:val="000000"/>
          <w:sz w:val="18"/>
        </w:rPr>
        <w:t>and December 31, 2025, there were no</w:t>
      </w:r>
      <w:r>
        <w:rPr>
          <w:rFonts w:ascii="Times New Roman" w:hAnsi="Times New Roman"/>
          <w:color w:val="000000"/>
          <w:sz w:val="20"/>
        </w:rPr>
        <w:t xml:space="preserve"> </w:t>
      </w:r>
      <w:r>
        <w:rPr>
          <w:rFonts w:ascii="Times New Roman" w:hAnsi="Times New Roman"/>
          <w:color w:val="000000"/>
          <w:sz w:val="18"/>
        </w:rPr>
        <w:t>individual listing service deposits amounting to $250,000</w:t>
      </w:r>
      <w:r>
        <w:rPr>
          <w:rFonts w:ascii="Times New Roman" w:hAnsi="Times New Roman"/>
          <w:color w:val="000000"/>
          <w:sz w:val="20"/>
        </w:rPr>
        <w:t xml:space="preserve"> </w:t>
      </w:r>
      <w:r>
        <w:rPr>
          <w:rFonts w:ascii="Times New Roman" w:hAnsi="Times New Roman"/>
          <w:color w:val="000000"/>
          <w:sz w:val="18"/>
        </w:rPr>
        <w:t>or more. All other brokered certificates of deposit individually amounted to less than $250,000.</w:t>
      </w:r>
    </w:p>
    <w:p>
      <w:pPr>
        <w:pStyle w:val="TextBody"/>
        <w:bidi w:val="0"/>
        <w:spacing w:before="4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June 30, 2026 scheduled maturities of certificates of deposit were as follows:</w:t>
      </w:r>
    </w:p>
    <w:p>
      <w:pPr>
        <w:pStyle w:val="TextBody"/>
        <w:bidi w:val="0"/>
        <w:jc w:val="both"/>
        <w:rPr/>
      </w:pPr>
      <w:r>
        <w:rPr/>
        <w:t> </w:t>
      </w:r>
    </w:p>
    <w:tbl>
      <w:tblPr>
        <w:tblW w:w="2408" w:type="dxa"/>
        <w:jc w:val="left"/>
        <w:tblInd w:w="0" w:type="dxa"/>
        <w:tblLayout w:type="fixed"/>
        <w:tblCellMar>
          <w:top w:w="28" w:type="dxa"/>
          <w:left w:w="28" w:type="dxa"/>
          <w:bottom w:w="28" w:type="dxa"/>
          <w:right w:w="28" w:type="dxa"/>
        </w:tblCellMar>
      </w:tblPr>
      <w:tblGrid>
        <w:gridCol w:w="946"/>
        <w:gridCol w:w="146"/>
        <w:gridCol w:w="239"/>
        <w:gridCol w:w="886"/>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738,785</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Overdrawn deposit accounts that have been reclassified to loans amounted to $0.1 million as of both June 30, 2026 and December 31,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8. Borrowings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Bank had outstanding term advances from the FHLBNY at June 30, 2026 and December 31, 2025 as indicated below. </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FHLBNY Advances</w:t>
      </w:r>
      <w:r>
        <w:rPr>
          <w:rFonts w:ascii="Times New Roman" w:hAnsi="Times New Roman"/>
          <w:color w:val="000000"/>
          <w:sz w:val="20"/>
        </w:rPr>
        <w:t>: As a member of the FHLBNY, the Bank has the ability to borrow from the FHLBNY based on a certain percentage of the value of the Bank's qualified collateral, as defined in the FHLBNY Statement of Credit Policy, at the time of the borrowing. In accordance with an agreement with the FHLBNY, the qualified collateral must be free and clear of liens, pledges and encumbrances.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Bank had $621.1 million and $596.1 million of outstanding term advances from the FHLBNY at June 30, 2026 and December 31, 2025, respectively. The Bank had no overnight line of credit advance from the FHLBNY at June 30, 2026 and December 31, 2025. </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FRBNY Advances</w:t>
      </w:r>
      <w:r>
        <w:rPr>
          <w:rFonts w:ascii="Times New Roman" w:hAnsi="Times New Roman"/>
          <w:color w:val="000000"/>
          <w:sz w:val="20"/>
        </w:rPr>
        <w:t xml:space="preserve">: The Bank had no term and overnight line of credit advances outstanding from the FRBNY at June 30, 2026 and December 31, 2025. </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Letters of Credit</w:t>
      </w:r>
      <w:r>
        <w:rPr>
          <w:rFonts w:ascii="Times New Roman" w:hAnsi="Times New Roman"/>
          <w:color w:val="000000"/>
          <w:sz w:val="20"/>
        </w:rPr>
        <w:t xml:space="preserve">: The Bank had two unsecured lines of credit in the amount of $75.0 million with two correspondent banks for both periods at June 30, 2026 and December 31, 2025.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Borrowed funds at June 30, 2026 and December 31, 2025 consist of the following and are summarized by maturity and call date below:</w:t>
      </w:r>
    </w:p>
    <w:p>
      <w:pPr>
        <w:pStyle w:val="TextBody"/>
        <w:bidi w:val="0"/>
        <w:jc w:val="both"/>
        <w:rPr/>
      </w:pPr>
      <w:r>
        <w:rPr/>
        <w:t> </w:t>
      </w:r>
    </w:p>
    <w:tbl>
      <w:tblPr>
        <w:tblW w:w="10163" w:type="dxa"/>
        <w:jc w:val="left"/>
        <w:tblInd w:w="0" w:type="dxa"/>
        <w:tblLayout w:type="fixed"/>
        <w:tblCellMar>
          <w:top w:w="28" w:type="dxa"/>
          <w:left w:w="28" w:type="dxa"/>
          <w:bottom w:w="28" w:type="dxa"/>
          <w:right w:w="28" w:type="dxa"/>
        </w:tblCellMar>
      </w:tblPr>
      <w:tblGrid>
        <w:gridCol w:w="2536"/>
        <w:gridCol w:w="199"/>
        <w:gridCol w:w="702"/>
        <w:gridCol w:w="146"/>
        <w:gridCol w:w="146"/>
        <w:gridCol w:w="228"/>
        <w:gridCol w:w="808"/>
        <w:gridCol w:w="146"/>
        <w:gridCol w:w="146"/>
        <w:gridCol w:w="216"/>
        <w:gridCol w:w="625"/>
        <w:gridCol w:w="256"/>
        <w:gridCol w:w="146"/>
        <w:gridCol w:w="199"/>
        <w:gridCol w:w="702"/>
        <w:gridCol w:w="146"/>
        <w:gridCol w:w="146"/>
        <w:gridCol w:w="228"/>
        <w:gridCol w:w="808"/>
        <w:gridCol w:w="146"/>
        <w:gridCol w:w="146"/>
        <w:gridCol w:w="216"/>
        <w:gridCol w:w="625"/>
        <w:gridCol w:w="501"/>
      </w:tblGrid>
      <w:tr>
        <w:trPr/>
        <w:tc>
          <w:tcPr>
            <w:tcW w:w="253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Scheduled</w:t>
              <w:b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Redeemable</w:t>
              <w:br/>
              <w:t>at Call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Rate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Scheduled</w:t>
              <w:b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Redeemable</w:t>
              <w:br/>
              <w:t>at Call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Rate</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6"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(Dollars in thousands)</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u w:val="single"/>
              </w:rPr>
            </w:pPr>
            <w:r>
              <w:rPr>
                <w:rFonts w:ascii="Times New Roman" w:hAnsi="Times New Roman"/>
                <w:color w:val="000000"/>
                <w:sz w:val="18"/>
                <w:u w:val="single"/>
              </w:rPr>
              <w:t>FHLBNY Term advances ending:</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2026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2027</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2028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2029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621,100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621,100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596,100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596,100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Interest expense on advances totaled $5.3 million and $5.0 million for the three months ended June 30, 2026 and 2025, and $10.7 million and $10.5 million for the six months ended June 30, 2026 and 2025, respectively.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9. Earnings Per Common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presents a reconciliation of the number of common shares used in the calculation of basic and diluted earnings per common share: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766"/>
        <w:gridCol w:w="146"/>
        <w:gridCol w:w="213"/>
        <w:gridCol w:w="1050"/>
        <w:gridCol w:w="147"/>
        <w:gridCol w:w="147"/>
        <w:gridCol w:w="213"/>
        <w:gridCol w:w="1050"/>
        <w:gridCol w:w="146"/>
        <w:gridCol w:w="146"/>
        <w:gridCol w:w="211"/>
        <w:gridCol w:w="1036"/>
        <w:gridCol w:w="146"/>
        <w:gridCol w:w="146"/>
        <w:gridCol w:w="211"/>
        <w:gridCol w:w="1036"/>
        <w:gridCol w:w="395"/>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 except share data)</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available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8,213</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11,496</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shares outstanding for basic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24,187,901</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23,984,800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24,172,133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23,974,722</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Weighted average unallocated Employee Stock</w:t>
              <w:br/>
              <w:t>   Ownership Plan (ESOP)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1,134,441</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1,268,185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1,151,064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1,284,808</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23,053,460</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22,716,615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23,021,069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22,689,914</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Potential dilutive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Dilutive effect of restricted stock awards and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454,693</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230,927</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23,508,153</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22,947,769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23,419,915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22,920,841</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10. Commitments, Contingencies and Credit Risk</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Financial Instruments With Off-Balance-Sheet Risk</w:t>
      </w:r>
      <w:r>
        <w:rPr>
          <w:rFonts w:ascii="Times New Roman" w:hAnsi="Times New Roman"/>
          <w:color w:val="000000"/>
          <w:sz w:val="20"/>
        </w:rPr>
        <w:t xml:space="preserve">: In the normal course of business, financial instruments with off-balance-sheet risk may be used to meet the financing needs of customers. These financial instruments include commitments to extend credit and letters of credit. These instruments involve, to varying degrees, elements of credit risk and interest rate risk in excess of the amounts recognized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the Consolidated Statements of Financial Condition. The contractual amounts of these instruments reflect the extent of involvement in particular classes of 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contractual amounts of commitments to extend credit represent the amounts of potential accounting loss should the contract be fully drawn upon, the customer default, and the value of any existing collateral become worthless. The same credit policies are used in making commitments and contractual obligations as for on-balance-sheet instruments. Financial instruments whose contractual amounts represent credit risk at June 30, 2026 and December 31, 2025 are as follows:</w:t>
      </w:r>
    </w:p>
    <w:p>
      <w:pPr>
        <w:pStyle w:val="TextBody"/>
        <w:bidi w:val="0"/>
        <w:jc w:val="both"/>
        <w:rPr/>
      </w:pPr>
      <w:r>
        <w:rPr/>
        <w:t> </w:t>
      </w:r>
    </w:p>
    <w:tbl>
      <w:tblPr>
        <w:tblW w:w="6452" w:type="dxa"/>
        <w:jc w:val="left"/>
        <w:tblInd w:w="0" w:type="dxa"/>
        <w:tblLayout w:type="fixed"/>
        <w:tblCellMar>
          <w:top w:w="28" w:type="dxa"/>
          <w:left w:w="28" w:type="dxa"/>
          <w:bottom w:w="28" w:type="dxa"/>
          <w:right w:w="28" w:type="dxa"/>
        </w:tblCellMar>
      </w:tblPr>
      <w:tblGrid>
        <w:gridCol w:w="3736"/>
        <w:gridCol w:w="146"/>
        <w:gridCol w:w="211"/>
        <w:gridCol w:w="781"/>
        <w:gridCol w:w="146"/>
        <w:gridCol w:w="146"/>
        <w:gridCol w:w="233"/>
        <w:gridCol w:w="862"/>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to grant 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Unfunded commitments under lines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605,464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481,672</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Commitments to Grant Mortgage Loans</w:t>
      </w:r>
      <w:r>
        <w:rPr>
          <w:rFonts w:ascii="Times New Roman" w:hAnsi="Times New Roman"/>
          <w:color w:val="000000"/>
          <w:sz w:val="20"/>
        </w:rPr>
        <w:t>: Commitments to grant mortgage loans are agreements to lend to a customer as long as all terms and conditions are met as established in the contract. Commitments generally have fixed expiration dates or other termination clauses, and may require payment of a fee by the borrower. Since some of the commitments are expected to expire without being drawn upon, the total commitment amounts do not necessarily represent future cash requirements. Each customer's creditworthiness is evaluated on a case-by-case basis. The amount of collateral obtained, if deemed necessary upon extension of credit, is based on management's credit evaluation of the counterparty. Collateral held varies, but may include accounts receivable, inventory, property and equipment, residential real estate and income-producing commercial properties. Material losses are not anticipated as a result of these transactions.</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Commitments to Sell Loans at Lock-in Rates:</w:t>
      </w:r>
      <w:r>
        <w:rPr>
          <w:rFonts w:ascii="Times New Roman" w:hAnsi="Times New Roman"/>
          <w:color w:val="000000"/>
          <w:sz w:val="20"/>
        </w:rPr>
        <w:t xml:space="preserve"> In order to assure itself of a marketplace to sell its loans, the Bank has agreements with investors who will commit to purchase loans at locked-in rates. The Bank has off-balance sheet market risk to the extent that the Bank does not obtain matching commitments from these investors to purchase the loans. This will expose the Bank to the lower of cost or market valuation environment.</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Repurchases, Indemnifications and Premium Recaptures</w:t>
      </w:r>
      <w:r>
        <w:rPr>
          <w:rFonts w:ascii="Times New Roman" w:hAnsi="Times New Roman"/>
          <w:color w:val="000000"/>
          <w:sz w:val="20"/>
        </w:rPr>
        <w:t>: Loans sold by the Bank under investor programs are subject to repurchase or indemnification if they fail to meet the origination criteria of those programs. In addition, loans sold to investors are also subject to repurchase or indemnifications if the loan is two or three months delinquent during a set period which usually varies from six months to a year after the loan is sold. There are no open repurchase or indemnification requests for loans sold as a correspondent lender or where the Company acted as a broker in the transaction as of June 30, 2026.</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Unfunded Commitments Under Lines of Credit</w:t>
      </w:r>
      <w:r>
        <w:rPr>
          <w:rFonts w:ascii="Times New Roman" w:hAnsi="Times New Roman"/>
          <w:color w:val="000000"/>
          <w:sz w:val="20"/>
        </w:rPr>
        <w:t>: Unfunded commitments under commercial lines of credit, revolving credit lines and overdraft protection agreements are commitments for possible future extension of credit to existing customers. These lines of credit are uncollateralized and usually contain a specified maturity date and, ultimately, may not be drawn upon to the total extent to which the Company is committed.</w:t>
      </w:r>
    </w:p>
    <w:p>
      <w:pPr>
        <w:pStyle w:val="TextBody"/>
        <w:bidi w:val="0"/>
        <w:jc w:val="left"/>
        <w:rPr>
          <w:rFonts w:ascii="Times New Roman" w:hAnsi="Times New Roman"/>
          <w:sz w:val="20"/>
        </w:rPr>
      </w:pPr>
      <w:r>
        <w:rPr>
          <w:rFonts w:ascii="Times New Roman" w:hAnsi="Times New Roman"/>
          <w:color w:val="000000"/>
          <w:sz w:val="20"/>
          <w:u w:val="single"/>
        </w:rPr>
        <w:t>Unfunded Commitments with Oaktree</w:t>
      </w:r>
      <w:r>
        <w:rPr>
          <w:rFonts w:ascii="Times New Roman" w:hAnsi="Times New Roman"/>
          <w:color w:val="000000"/>
          <w:sz w:val="20"/>
        </w:rPr>
        <w:t xml:space="preserve">: In December of 2021, the Bank committed to invest $5.0 million in Oaktree SBIC Fund, L.P. ("Oaktree"). As of June 30, 2026, the total unfunded commitment was $1.7 million. </w:t>
      </w:r>
    </w:p>
    <w:p>
      <w:pPr>
        <w:pStyle w:val="TextBody"/>
        <w:bidi w:val="0"/>
        <w:jc w:val="left"/>
        <w:rPr>
          <w:rFonts w:ascii="Times New Roman" w:hAnsi="Times New Roman"/>
          <w:sz w:val="20"/>
        </w:rPr>
      </w:pPr>
      <w:r>
        <w:rPr>
          <w:rFonts w:ascii="Times New Roman" w:hAnsi="Times New Roman"/>
          <w:color w:val="000000"/>
          <w:sz w:val="20"/>
          <w:u w:val="single"/>
        </w:rPr>
        <w:t>Unfunded Commitments with Silvergate</w:t>
      </w:r>
      <w:r>
        <w:rPr>
          <w:rFonts w:ascii="Times New Roman" w:hAnsi="Times New Roman"/>
          <w:color w:val="000000"/>
          <w:sz w:val="20"/>
        </w:rPr>
        <w:t xml:space="preserve">: In April of 2022, the Company committed to invest $5.2 million in EJF Silvergate Ventures Fund LP ("Silvergate"). As of June 30, 2026, the total unfunded commitment was $1.3 million. </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Letters of Credit</w:t>
      </w:r>
      <w:r>
        <w:rPr>
          <w:rFonts w:ascii="Times New Roman" w:hAnsi="Times New Roman"/>
          <w:color w:val="000000"/>
          <w:sz w:val="20"/>
        </w:rPr>
        <w:t>: Letters of credit are conditional commitments issued to guarantee the performance of a customer to a third party. These guarantees are primarily issued to support public and private borrowing arrangements. The credit risk involved in issuing letters of credit is essentially the same as that involved in extending loan facilities to customers. Letters of credit are largely cash secured.</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Concentration by Geographic Location</w:t>
      </w:r>
      <w:r>
        <w:rPr>
          <w:rFonts w:ascii="Times New Roman" w:hAnsi="Times New Roman"/>
          <w:color w:val="000000"/>
          <w:sz w:val="20"/>
        </w:rPr>
        <w:t>: Loans, commitments to extend credit and letters of credit have been granted to customers who are located primarily in the New York City metropolitan area. Generally, such loans most often are secured by residential properties. The loans are expected to be repaid from the borrowers' payment sources.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Legal Matters</w:t>
      </w:r>
      <w:r>
        <w:rPr>
          <w:rFonts w:ascii="Times New Roman" w:hAnsi="Times New Roman"/>
          <w:color w:val="000000"/>
          <w:sz w:val="20"/>
        </w:rPr>
        <w:t>: The Company is involved in various legal proceedings which have arisen in the normal course of business. Management believes that resolution of these matters will not have a material effect on the Company’s financial condition or results of operations.</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11. Fair Value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fair value hierarchy is used based on the lowest level of input significant to the fair value measurement. There are three levels of inputs that may be used to measure fair values: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1 – Quoted prices (unadjusted) for identical assets or liabilities in active markets that the entity has the ability to access as of the measurement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2 – Significant other observable inputs other than Level 1 prices such as quoted prices for similar assets or liabilities; quoted prices in markets that are not active; or other inputs that are observable or can be corroborated by observable market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3 – Significant unobservable inputs that reflect a company’s own assumptions about the assumptions that market participants would use in pricing an asset or liability.</w:t>
      </w:r>
    </w:p>
    <w:p>
      <w:pPr>
        <w:pStyle w:val="TextBody"/>
        <w:bidi w:val="0"/>
        <w:spacing w:before="12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used the following methods and significant assumptions to estimate fair value:</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Cash and Cash Equivalents, Placement with Banks, Accrued Interest Receivable, and Accrued Interest Payable</w:t>
      </w:r>
      <w:r>
        <w:rPr>
          <w:rFonts w:ascii="Times New Roman" w:hAnsi="Times New Roman"/>
          <w:color w:val="000000"/>
          <w:sz w:val="20"/>
        </w:rPr>
        <w:t>: The carrying amount is a reasonable estimate of fair value. These assets and liabilities are not recorded at fair value on a recurring basis.</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Available-for-Sale Securities</w:t>
      </w:r>
      <w:r>
        <w:rPr>
          <w:rFonts w:ascii="Times New Roman" w:hAnsi="Times New Roman"/>
          <w:color w:val="000000"/>
          <w:sz w:val="20"/>
        </w:rPr>
        <w:t>: These financial instruments are recorded at fair value in the consolidated financial statements on a recurring basis. Where quoted prices are available in an active market, securities are classified within Level 1 of the valuation hierarchy. If quoted prices are not available, then fair values are estimated by using pricing models (e.g., matrix pricing) or quoted prices of securities with similar characteristics and are classified within Level 2 of the valuation hierarchy. Examples of such instruments include government agency bonds and mortgage-backed securities. Level 3 securities are securities for which significant unobservable inputs are utilized. There were no changes in valuation techniques used to measure similar assets during the period.</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FHLBNY Stock</w:t>
      </w:r>
      <w:r>
        <w:rPr>
          <w:rFonts w:ascii="Times New Roman" w:hAnsi="Times New Roman"/>
          <w:color w:val="000000"/>
          <w:sz w:val="20"/>
        </w:rPr>
        <w:t>: FHLBNY stock is carried at cost and classified as restricted equity securities. As a member of the FHLBNY, the Company is required to purchase and hold this stock.</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FRBNY Stock</w:t>
      </w:r>
      <w:r>
        <w:rPr>
          <w:rFonts w:ascii="Times New Roman" w:hAnsi="Times New Roman"/>
          <w:color w:val="000000"/>
          <w:sz w:val="20"/>
        </w:rPr>
        <w:t>: FRBNY stock is carried at cost and classified as restricted equity securities. As a member of the FRBNY, the Company is required to purchase and hold this stock.</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Loans Receivable</w:t>
      </w:r>
      <w:r>
        <w:rPr>
          <w:rFonts w:ascii="Times New Roman" w:hAnsi="Times New Roman"/>
          <w:color w:val="000000"/>
          <w:sz w:val="20"/>
        </w:rPr>
        <w:t>: For variable rate loans, which reprice frequently and have no significant change in credit risk, carrying values are a reasonable estimate of fair values, adjusted for credit losses inherent in the portfolios. The fair value of fixed rate loans is estimated by discounting the future cash flows using estimated market rates at which similar loans would be made to borrowers with similar credit ratings and for the same remaining maturities, adjusted for credit losses inherent in the portfolios. Individual assessed loans are valued using a present value discounted cash flow method, or the fair value of the collateral. Loans are not recorded at fair value on a recurring basis.</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Mortgage Loans Held for Sale</w:t>
      </w:r>
      <w:r>
        <w:rPr>
          <w:rFonts w:ascii="Times New Roman" w:hAnsi="Times New Roman"/>
          <w:color w:val="000000"/>
          <w:sz w:val="20"/>
        </w:rPr>
        <w:t>: Loans held for sale, at fair value, consists of loans originated for sale by the Bank and accounted for under the fair value option. These assets are valued using stated investor pricing for substantially equivalent loans as Level 2. In determining fair value, such measurements are derived based on observable market data, including whole-loan transaction pricing and similar market transactions adjusted for portfolio composition, servicing value and market conditions. Loans held for sale by the Bank are carried at the lower of cost or fair value as determined by investor bid prices.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fair value option, management has elected, on an instrument-by-instrument basis, fair value for substantially all forms of mortgage loans originated for sale on a recurring basis. As of June 30, 2026, the fair value carrying amount of mortgages held for sale measured under the fair value option was $3.1 million and the aggregate unpaid principal amounted to $3.0 million.</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Other Real Estate Owned</w:t>
      </w:r>
      <w:r>
        <w:rPr>
          <w:rFonts w:ascii="Times New Roman" w:hAnsi="Times New Roman"/>
          <w:color w:val="000000"/>
          <w:sz w:val="20"/>
        </w:rPr>
        <w:t>: Other real estate owned represents real estate acquired through foreclosure, and is recorded at fair value less estimated disposal costs on a nonrecurring basis. Fair value is based upon independent market prices, appraised values of the collateral or management's estimation of the value of the collateral. When the fair value of the collateral is based on an observable market price or a current appraised value, the asset is classified as Level 2. When an appraised value is not available or management determines the fair value of the collateral is further impaired below the appraised value and there is no observable market price, the asset is classified as Level 3.</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Deposits</w:t>
      </w:r>
      <w:r>
        <w:rPr>
          <w:rFonts w:ascii="Times New Roman" w:hAnsi="Times New Roman"/>
          <w:color w:val="000000"/>
          <w:sz w:val="20"/>
        </w:rPr>
        <w:t xml:space="preserve">: The fair values of demand deposits, savings, NOW and money market accounts equal their carrying amounts, which represent the amounts payable on demand at the reporting date. Fair values for fixed-term, fixed-rate certificates of deposit are estimated using a discounted cash flow calculation that applies market interest rates on certificates of deposit to a schedule of aggregated expected monthly maturities on such deposits. Deposits are not recorded at fair value on a recurring basis.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FHLBNY Advances</w:t>
      </w:r>
      <w:r>
        <w:rPr>
          <w:rFonts w:ascii="Times New Roman" w:hAnsi="Times New Roman"/>
          <w:color w:val="000000"/>
          <w:sz w:val="20"/>
        </w:rPr>
        <w:t xml:space="preserve">: The fair value of the advances is estimated using a discounted cash flow calculation that applies current market-based FHLBNY interest rates for advances of similar maturity to a schedule of maturities of such advances. These borrowings are not recorded at fair value on a recurring basis.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u w:val="single"/>
        </w:rPr>
        <w:t>Off-Balance-Sheet Instruments</w:t>
      </w:r>
      <w:r>
        <w:rPr>
          <w:rFonts w:ascii="Times New Roman" w:hAnsi="Times New Roman"/>
          <w:color w:val="000000"/>
          <w:sz w:val="20"/>
        </w:rPr>
        <w:t>: Fair values for off-balance-sheet instruments (lending commitments and standby letters of credit) are based on fees currently charged to enter into similar agreements, taking into account the remaining terms of the agreements and the counterparties' credit standing. Off-balance-sheet instruments are not recorded at fair value on a recurring basis.</w:t>
      </w:r>
    </w:p>
    <w:p>
      <w:pPr>
        <w:pStyle w:val="TextBody"/>
        <w:bidi w:val="0"/>
        <w:spacing w:before="4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detail the assets that are carried at fair value and measured at fair value on a recurring basis as of June 30, 2026 and December 31, 2025, and indicate the level within the fair value hierarchy utilized to determine the fair value:</w:t>
      </w:r>
    </w:p>
    <w:p>
      <w:pPr>
        <w:pStyle w:val="TextBody"/>
        <w:bidi w:val="0"/>
        <w:jc w:val="both"/>
        <w:rPr/>
      </w:pPr>
      <w:r>
        <w:rPr/>
        <w:t> </w:t>
      </w:r>
    </w:p>
    <w:tbl>
      <w:tblPr>
        <w:tblW w:w="8050" w:type="dxa"/>
        <w:jc w:val="left"/>
        <w:tblInd w:w="0" w:type="dxa"/>
        <w:tblLayout w:type="fixed"/>
        <w:tblCellMar>
          <w:top w:w="28" w:type="dxa"/>
          <w:left w:w="28" w:type="dxa"/>
          <w:bottom w:w="28" w:type="dxa"/>
          <w:right w:w="28" w:type="dxa"/>
        </w:tblCellMar>
      </w:tblPr>
      <w:tblGrid>
        <w:gridCol w:w="3601"/>
        <w:gridCol w:w="146"/>
        <w:gridCol w:w="211"/>
        <w:gridCol w:w="676"/>
        <w:gridCol w:w="146"/>
        <w:gridCol w:w="146"/>
        <w:gridCol w:w="211"/>
        <w:gridCol w:w="421"/>
        <w:gridCol w:w="146"/>
        <w:gridCol w:w="146"/>
        <w:gridCol w:w="211"/>
        <w:gridCol w:w="676"/>
        <w:gridCol w:w="146"/>
        <w:gridCol w:w="146"/>
        <w:gridCol w:w="239"/>
        <w:gridCol w:w="391"/>
        <w:gridCol w:w="39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Securities,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Collateralized Mortgage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FHLMC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FNMA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GNMA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 Loans Held for Sale,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87,824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87,091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8200" w:type="dxa"/>
        <w:jc w:val="left"/>
        <w:tblInd w:w="0" w:type="dxa"/>
        <w:tblLayout w:type="fixed"/>
        <w:tblCellMar>
          <w:top w:w="28" w:type="dxa"/>
          <w:left w:w="28" w:type="dxa"/>
          <w:bottom w:w="28" w:type="dxa"/>
          <w:right w:w="28" w:type="dxa"/>
        </w:tblCellMar>
      </w:tblPr>
      <w:tblGrid>
        <w:gridCol w:w="3601"/>
        <w:gridCol w:w="146"/>
        <w:gridCol w:w="211"/>
        <w:gridCol w:w="676"/>
        <w:gridCol w:w="146"/>
        <w:gridCol w:w="146"/>
        <w:gridCol w:w="211"/>
        <w:gridCol w:w="571"/>
        <w:gridCol w:w="146"/>
        <w:gridCol w:w="146"/>
        <w:gridCol w:w="211"/>
        <w:gridCol w:w="676"/>
        <w:gridCol w:w="146"/>
        <w:gridCol w:w="146"/>
        <w:gridCol w:w="239"/>
        <w:gridCol w:w="391"/>
        <w:gridCol w:w="39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Securities,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Collateralized Mortgage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FHLMC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FNMA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GNMA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 Loans Held for Sale,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Management’s assessment and classification of an investment within a level can change over time based upon maturity or liquidity of the investment and would be reflected at the beginning of the quarter in which the change occurred.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detail the assets carried at fair value and measured at fair value on a nonrecurring basis as of June 30, 2026 and December 31, 2025 and indicate the fair value hierarchy utilized to determine the fair value:</w:t>
      </w:r>
    </w:p>
    <w:p>
      <w:pPr>
        <w:pStyle w:val="TextBody"/>
        <w:bidi w:val="0"/>
        <w:jc w:val="both"/>
        <w:rPr/>
      </w:pPr>
      <w:r>
        <w:rPr/>
        <w:t> </w:t>
      </w:r>
    </w:p>
    <w:tbl>
      <w:tblPr>
        <w:tblW w:w="6708" w:type="dxa"/>
        <w:jc w:val="left"/>
        <w:tblInd w:w="0" w:type="dxa"/>
        <w:tblLayout w:type="fixed"/>
        <w:tblCellMar>
          <w:top w:w="28" w:type="dxa"/>
          <w:left w:w="28" w:type="dxa"/>
          <w:bottom w:w="28" w:type="dxa"/>
          <w:right w:w="28" w:type="dxa"/>
        </w:tblCellMar>
      </w:tblPr>
      <w:tblGrid>
        <w:gridCol w:w="2461"/>
        <w:gridCol w:w="146"/>
        <w:gridCol w:w="211"/>
        <w:gridCol w:w="676"/>
        <w:gridCol w:w="146"/>
        <w:gridCol w:w="146"/>
        <w:gridCol w:w="239"/>
        <w:gridCol w:w="391"/>
        <w:gridCol w:w="146"/>
        <w:gridCol w:w="146"/>
        <w:gridCol w:w="239"/>
        <w:gridCol w:w="391"/>
        <w:gridCol w:w="146"/>
        <w:gridCol w:w="146"/>
        <w:gridCol w:w="211"/>
        <w:gridCol w:w="676"/>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Individually evaluated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6708" w:type="dxa"/>
        <w:jc w:val="left"/>
        <w:tblInd w:w="0" w:type="dxa"/>
        <w:tblLayout w:type="fixed"/>
        <w:tblCellMar>
          <w:top w:w="28" w:type="dxa"/>
          <w:left w:w="28" w:type="dxa"/>
          <w:bottom w:w="28" w:type="dxa"/>
          <w:right w:w="28" w:type="dxa"/>
        </w:tblCellMar>
      </w:tblPr>
      <w:tblGrid>
        <w:gridCol w:w="2461"/>
        <w:gridCol w:w="146"/>
        <w:gridCol w:w="211"/>
        <w:gridCol w:w="676"/>
        <w:gridCol w:w="146"/>
        <w:gridCol w:w="146"/>
        <w:gridCol w:w="239"/>
        <w:gridCol w:w="391"/>
        <w:gridCol w:w="146"/>
        <w:gridCol w:w="146"/>
        <w:gridCol w:w="239"/>
        <w:gridCol w:w="391"/>
        <w:gridCol w:w="146"/>
        <w:gridCol w:w="146"/>
        <w:gridCol w:w="211"/>
        <w:gridCol w:w="676"/>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Individually evaluated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000000"/>
          <w:sz w:val="20"/>
        </w:rPr>
        <w:t xml:space="preserve">Losses on assets carried at fair value on a nonrecurring basis were </w:t>
      </w:r>
      <w:r>
        <w:rPr>
          <w:rFonts w:ascii="Times New Roman" w:hAnsi="Times New Roman"/>
          <w:i/>
          <w:color w:val="000000"/>
          <w:sz w:val="20"/>
        </w:rPr>
        <w:t>de minimis</w:t>
      </w:r>
      <w:r>
        <w:rPr>
          <w:rFonts w:ascii="Times New Roman" w:hAnsi="Times New Roman"/>
          <w:color w:val="000000"/>
          <w:sz w:val="20"/>
        </w:rPr>
        <w:t xml:space="preserve"> for the three and six months ended June 30, 2026 and 2025, respectively.</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and December 31, 2025, the carrying values and estimated fair values of the Company's financial instruments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40"/>
        <w:gridCol w:w="146"/>
        <w:gridCol w:w="211"/>
        <w:gridCol w:w="931"/>
        <w:gridCol w:w="146"/>
        <w:gridCol w:w="146"/>
        <w:gridCol w:w="211"/>
        <w:gridCol w:w="931"/>
        <w:gridCol w:w="146"/>
        <w:gridCol w:w="146"/>
        <w:gridCol w:w="211"/>
        <w:gridCol w:w="781"/>
        <w:gridCol w:w="146"/>
        <w:gridCol w:w="146"/>
        <w:gridCol w:w="211"/>
        <w:gridCol w:w="931"/>
        <w:gridCol w:w="146"/>
        <w:gridCol w:w="146"/>
        <w:gridCol w:w="211"/>
        <w:gridCol w:w="931"/>
        <w:gridCol w:w="591"/>
      </w:tblGrid>
      <w:tr>
        <w:trPr/>
        <w:tc>
          <w:tcPr>
            <w:tcW w:w="2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140,010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Available-for-sale securities,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84,774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Held-to-maturity securities, at amortized cost,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246,965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Placement with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Mortgage loans held for sale,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2,829,981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FHLBNY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FRBNY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Demand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251,919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Interest-bearing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1,281,105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736,321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615,539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40"/>
        <w:gridCol w:w="146"/>
        <w:gridCol w:w="211"/>
        <w:gridCol w:w="931"/>
        <w:gridCol w:w="146"/>
        <w:gridCol w:w="146"/>
        <w:gridCol w:w="211"/>
        <w:gridCol w:w="931"/>
        <w:gridCol w:w="146"/>
        <w:gridCol w:w="146"/>
        <w:gridCol w:w="211"/>
        <w:gridCol w:w="781"/>
        <w:gridCol w:w="146"/>
        <w:gridCol w:w="146"/>
        <w:gridCol w:w="211"/>
        <w:gridCol w:w="931"/>
        <w:gridCol w:w="146"/>
        <w:gridCol w:w="146"/>
        <w:gridCol w:w="211"/>
        <w:gridCol w:w="931"/>
        <w:gridCol w:w="591"/>
      </w:tblGrid>
      <w:tr>
        <w:trPr/>
        <w:tc>
          <w:tcPr>
            <w:tcW w:w="2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126,154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Available-for-sale securities,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Held-to-maturity securities, at amortized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268,875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Placement with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Mortgage loans held for sale,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2,577,298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FHLBNY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FRBNY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Demand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Interest-bearing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1,133,882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704,205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595,031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recognizes transfers between levels of the valuation hierarchy at the end of the applicable reporting periods. There were no transfers of Level 3 assets in the fair value hierarchy at June 30, 2026 and December 31, 2025. Fair value for Level 3 securities was determined using a third-party pricing service with limited levels of activity and price transparency.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Off-Balance-Sheet Instruments</w:t>
      </w:r>
      <w:r>
        <w:rPr>
          <w:rFonts w:ascii="Times New Roman" w:hAnsi="Times New Roman"/>
          <w:color w:val="000000"/>
          <w:sz w:val="20"/>
        </w:rPr>
        <w:t>: Loan commitments on which the committed interest rate is less than the current market rate are insignificant at June 30, 2026 and December 31, 2025.</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fair value information about financial instruments are disclosed, whether or not recognized in the consolidated statements of financial condition, for which it is practicable to estimate that value. Accordingly, the aggregate fair value amounts presented do not represent the underlying value of the Company. The estimated fair value amounts for 2026 and 2025 have been measured as of their respective period-ends and have not been reevaluated or updated for purposes of these consolidated financial statements subsequent to those respective dates. As such, the estimated fair values of these financial instruments subsequent to the respective reporting dates may be different than amounts reported at each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presented should not be interpreted as an estimate of the fair value of the entire Company since a fair value calculation is only required for a limited portion of the Company's assets and liabilities. Due to the wide range of valuation techniques and the degree of subjectivity used in making the estimates, comparisons between the Company's disclosures and those of other banks may not be meaningful.</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12. Regulatory Capital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and the Bank are subject to various regulatory capital requirements administered by the Federal Reserve Board, the OCC and the U.S. Department of Housing and Urban Development. Failure to meet minimum capital requirements can initiate certain mandatory and possibly additional discretionary actions by regulators that, if undertaken, could have a direct material effect on the Company’s operations and financial statements. Under the regulatory capital adequacy guidelines and the regulatory framework for prompt corrective action, the Company must meet specific capital guidelines that involve quantitative measures of the Company's assets, liabilities and certain off-balance-sheet items as calculated under regulatory accounting practices. The Company's capital amounts and classification are also subject to qualitative judgments by the regulators about components, risk weightings and other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Quantitative measures established by regulation require the maintenance of minimum amounts and ratios (set forth in the table below) of total risk-based and Tier 1 capital to risk-weighted assets (as defined), common equity Tier 1 capital (as defined), and Tier 1 capital to adjusted total assets (as defined) adjusted total assets (as defined). As of June 30, 2026 and December 31, 2025, the applicable capital adequacy requirements specified below have been met.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below minimum capital requirements exclude the capital conservation buffer required to avoid limitations on capital distributions including dividend payments and certain discretionary bonus payments to executive officers. The applicable capital buffer for the Bank was 10.9% at June 30, 2026 and 13.6% at December 31,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most recent notification from the OCC categorized the Bank as well capitalized under the regulatory framework for prompt corrective action. To be categorized as well capitalized, the Company and the Bank must maintain minimum total risk-based, common equity risk-based, Tier 1 risk-based and Tier 1 leverage ratios as set forth in the table below. There were no conditions or events since then of which management is aware that have changed the Bank's category.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and the Bank’s actual capital amounts and ratios as of June 30, 2026 and December 31, 2025 as compared to regulatory requirements are as follows: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87"/>
        <w:gridCol w:w="146"/>
        <w:gridCol w:w="211"/>
        <w:gridCol w:w="781"/>
        <w:gridCol w:w="146"/>
        <w:gridCol w:w="146"/>
        <w:gridCol w:w="146"/>
        <w:gridCol w:w="571"/>
        <w:gridCol w:w="271"/>
        <w:gridCol w:w="146"/>
        <w:gridCol w:w="211"/>
        <w:gridCol w:w="781"/>
        <w:gridCol w:w="146"/>
        <w:gridCol w:w="146"/>
        <w:gridCol w:w="606"/>
        <w:gridCol w:w="146"/>
        <w:gridCol w:w="211"/>
        <w:gridCol w:w="781"/>
        <w:gridCol w:w="146"/>
        <w:gridCol w:w="146"/>
        <w:gridCol w:w="146"/>
        <w:gridCol w:w="571"/>
        <w:gridCol w:w="517"/>
      </w:tblGrid>
      <w:tr>
        <w:trPr/>
        <w:tc>
          <w:tcPr>
            <w:tcW w:w="3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 Be Well</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Capitalized Under</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Prompt Corrective</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Adequacy Purposes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Action Provisions</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Ratio</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Ratio</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5"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Ponce Financial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Capital to Risk-Weighted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Tier 1 Capital to Risk-Weighted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Equity Tier 1 Capital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Tier 1 Capital to 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Ponce Bank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Capital to Risk-Weighted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Tier 1 Capital to Risk-Weighted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Equity Tier 1 Capital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Tier 1 Capital to 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11"/>
        <w:gridCol w:w="146"/>
        <w:gridCol w:w="211"/>
        <w:gridCol w:w="781"/>
        <w:gridCol w:w="146"/>
        <w:gridCol w:w="146"/>
        <w:gridCol w:w="146"/>
        <w:gridCol w:w="571"/>
        <w:gridCol w:w="271"/>
        <w:gridCol w:w="146"/>
        <w:gridCol w:w="211"/>
        <w:gridCol w:w="781"/>
        <w:gridCol w:w="146"/>
        <w:gridCol w:w="146"/>
        <w:gridCol w:w="146"/>
        <w:gridCol w:w="466"/>
        <w:gridCol w:w="271"/>
        <w:gridCol w:w="146"/>
        <w:gridCol w:w="211"/>
        <w:gridCol w:w="781"/>
        <w:gridCol w:w="146"/>
        <w:gridCol w:w="146"/>
        <w:gridCol w:w="146"/>
        <w:gridCol w:w="571"/>
        <w:gridCol w:w="516"/>
      </w:tblGrid>
      <w:tr>
        <w:trPr/>
        <w:tc>
          <w:tcPr>
            <w:tcW w:w="2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 Be Well</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Capitalized Under</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Capital</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Prompt Corrective</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Adequacy Purposes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Action Provisions</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Ratio</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Ratio</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Ratio</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3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Ponce Financial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Capital to Risk-Weighted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Tier 1 Capital to Risk-Weighted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Equity Tier 1 Capital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Tier 1 Capital to 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Ponce Bank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Capital to Risk-Weighted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Tier 1 Capital to Risk-Weighted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Equity Tier 1 Capital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Tier 1 Capital to 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and December 31, 2025, the Bank was in compliance with the applicable minimum capital requirements specified above.</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13. Accumulated Other Comprehensive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accumulated other comprehensive loss is as follows:</w:t>
      </w:r>
    </w:p>
    <w:p>
      <w:pPr>
        <w:pStyle w:val="TextBody"/>
        <w:bidi w:val="0"/>
        <w:spacing w:before="120" w:after="283"/>
        <w:jc w:val="both"/>
        <w:rPr/>
      </w:pPr>
      <w:r>
        <w:rPr/>
        <w:t> </w:t>
      </w:r>
    </w:p>
    <w:tbl>
      <w:tblPr>
        <w:tblW w:w="8060" w:type="dxa"/>
        <w:jc w:val="left"/>
        <w:tblInd w:w="0" w:type="dxa"/>
        <w:tblLayout w:type="fixed"/>
        <w:tblCellMar>
          <w:top w:w="28" w:type="dxa"/>
          <w:left w:w="28" w:type="dxa"/>
          <w:bottom w:w="28" w:type="dxa"/>
          <w:right w:w="28" w:type="dxa"/>
        </w:tblCellMar>
      </w:tblPr>
      <w:tblGrid>
        <w:gridCol w:w="4396"/>
        <w:gridCol w:w="146"/>
        <w:gridCol w:w="244"/>
        <w:gridCol w:w="851"/>
        <w:gridCol w:w="166"/>
        <w:gridCol w:w="146"/>
        <w:gridCol w:w="220"/>
        <w:gridCol w:w="441"/>
        <w:gridCol w:w="146"/>
        <w:gridCol w:w="146"/>
        <w:gridCol w:w="211"/>
        <w:gridCol w:w="736"/>
        <w:gridCol w:w="211"/>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7"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losses on available-for-sale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(10,698</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pPr>
      <w:r>
        <w:rPr/>
        <w:t> </w:t>
      </w:r>
    </w:p>
    <w:tbl>
      <w:tblPr>
        <w:tblW w:w="8181" w:type="dxa"/>
        <w:jc w:val="left"/>
        <w:tblInd w:w="0" w:type="dxa"/>
        <w:tblLayout w:type="fixed"/>
        <w:tblCellMar>
          <w:top w:w="28" w:type="dxa"/>
          <w:left w:w="28" w:type="dxa"/>
          <w:bottom w:w="28" w:type="dxa"/>
          <w:right w:w="28" w:type="dxa"/>
        </w:tblCellMar>
      </w:tblPr>
      <w:tblGrid>
        <w:gridCol w:w="4396"/>
        <w:gridCol w:w="146"/>
        <w:gridCol w:w="244"/>
        <w:gridCol w:w="851"/>
        <w:gridCol w:w="166"/>
        <w:gridCol w:w="146"/>
        <w:gridCol w:w="211"/>
        <w:gridCol w:w="571"/>
        <w:gridCol w:w="146"/>
        <w:gridCol w:w="146"/>
        <w:gridCol w:w="211"/>
        <w:gridCol w:w="736"/>
        <w:gridCol w:w="211"/>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2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2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losses on available-for-sale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14. Transactions with Related 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Directors, executive officers and non-executive officers of the Company have been customers of and have had transactions with the Bank, and it is expected that such persons will continue to have such transactions in the future. Aggregate loan transactions with related parties for the three and six months ended June 30, 2026 and 2025 were as follows:</w:t>
      </w:r>
    </w:p>
    <w:p>
      <w:pPr>
        <w:pStyle w:val="TextBody"/>
        <w:bidi w:val="0"/>
        <w:spacing w:before="120" w:after="283"/>
        <w:jc w:val="both"/>
        <w:rPr/>
      </w:pPr>
      <w:r>
        <w:rPr/>
        <w:t> </w:t>
      </w:r>
    </w:p>
    <w:tbl>
      <w:tblPr>
        <w:tblW w:w="7835" w:type="dxa"/>
        <w:jc w:val="left"/>
        <w:tblInd w:w="0" w:type="dxa"/>
        <w:tblLayout w:type="fixed"/>
        <w:tblCellMar>
          <w:top w:w="28" w:type="dxa"/>
          <w:left w:w="28" w:type="dxa"/>
          <w:bottom w:w="28" w:type="dxa"/>
          <w:right w:w="28" w:type="dxa"/>
        </w:tblCellMar>
      </w:tblPr>
      <w:tblGrid>
        <w:gridCol w:w="1666"/>
        <w:gridCol w:w="146"/>
        <w:gridCol w:w="320"/>
        <w:gridCol w:w="867"/>
        <w:gridCol w:w="252"/>
        <w:gridCol w:w="221"/>
        <w:gridCol w:w="320"/>
        <w:gridCol w:w="867"/>
        <w:gridCol w:w="166"/>
        <w:gridCol w:w="146"/>
        <w:gridCol w:w="289"/>
        <w:gridCol w:w="865"/>
        <w:gridCol w:w="227"/>
        <w:gridCol w:w="200"/>
        <w:gridCol w:w="289"/>
        <w:gridCol w:w="783"/>
        <w:gridCol w:w="21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1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6,456</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9,092</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16"/>
        </w:rPr>
      </w:pPr>
      <w:r>
        <w:rPr>
          <w:rFonts w:ascii="Times New Roman" w:hAnsi="Times New Roman"/>
          <w:color w:val="000000"/>
          <w:sz w:val="16"/>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held deposits in the amount of $9.3 million and $7.9 million from directors, executive officers and non-executive officers at June 30, 2026 and June 30, 2025, respectively.</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11" w:name="item_2_managements_discussion_analysis_f"/>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Management’s discussion and analysis of the financial condition at June 30, 2026 and December 31, 2025, and results of operations for the three and six months ended June 30, 2026 and 2025, is intended to assist in understanding the financial condition and results of operations of Ponce Financial Group, Inc. (the “Company”). The information contained in this section should be read in conjunction with the unaudited financial statements and the notes thereto appearing in Part I, Item 1, of this quarterly report on Form 10-Q.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principal business is attracting retail deposits from the general public and investing those deposits together with funds generated from ongoing operations and borrowings, primarily in (1) loan originations for purchases and construction of multi-family residential properties, commercial business loans, commercial real estate mortgage loans, one-to-four family (including mixed-use properties, which are properties that contain both residential dwelling units and commercial units); (2) construction loans; (3) SBA loans; (4) mortgage-backed securities; and (5) U.S. government securities, corporate fixed-income securities and other marketable securities. We also originate certain other consumer loans including overdraft lines of credit. Our results of operations depend primarily on net interest income, which is the difference between the income earned on its interest-earning assets and the cost of our interest-bearing liabilities. We also generate non-interest income mainly from service charges and fees, late and prepayment charges, income on sale of mortgage loans and grant income. Our non-interest expense consists principally of employee compensation and benefits, occupancy and equipment costs, data processing expenses, direct loan expenses, professional fees, other operating expenses and income tax expense. Our results of operations can also be significantly affected by our periodic provision for credit losses.</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Cautionary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quarterly report contains forward-looking statements, which can be identified by the use of words such as "estimate," "project," "intend," "anticipate," "assume," "plan," "seek," "expect," "will," "may," "should," "indicate," "would," "believe," "contemplate," "continue," "target" and words of similar meaning. These forward-looking statements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statements of the Company’s goals, intentions and expectations;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statements regarding its business plans, prospects, growth and operating strategies;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statements regarding the quality of its loan and investment portfolios;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estimates of the risks and future costs and benefits;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forward-looking statements are based on current beliefs and expectations and are inherently subject to significant business, economic and competitive uncertainties and contingencies, many of which are beyond the Company’s control. In addition, these forward-looking statements are subject to assumptions with respect to future business strategies and decisions that are subject to change.</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factors, among others, could cause actual results to differ materially from the anticipated results or other expectations expressed in the forward-looking statements: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duration and severity of rising interest rates, and its effects on our business and operations, our customers, including their ability to make timely payments on loans, our service providers, and on the economy and financial markets in general;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U.S. trade policies, including the imposition of tariffs and retaliatory tariffs, and their related impacts on the economy;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consumer spending, borrowing and savings habits;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conditions that are worse than expected, particularly in connection with low or negative growth in the. economy as well as economic uncertainty (including from an economic slowdown or recession, the federal government shutdown, unemployment, or limited growth in consumer income or spending), either nationally or in the market areas;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volatility in the financial services sector, including failures or rumors of failures of other depository institutions, along with actions taken by governmental agencies to address such turmoil, and the effects on the ability of depository institutions, including us, to attract and retain depositors and to borrow or raise capital;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manage market risk, credit risk and operational risk in the current economic environment;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level and direction of loan delinquencies and write-offs and changes in estimates of the adequacy of the allowance for loan losses;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access cost-effective funding;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real estate values and real estate market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demand for loans and deposits in the market areas;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implement and change its business strategies;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competition among depository and other financial institutions;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inflation and changes in the interest rate environment that reduce the Company’s margins and yields, its mortgage banking revenues, the fair value of financial instruments or the level of loan originations, or increase the level of defaults, losses and prepayments on loans the Company have made and make;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changes in the securities or secondary mortgage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laws or government regulations or policies affecting financial institutions, including changes in regulatory fees and capital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monetary, fiscal and regulatory policies of the U.S. government, including policies of the U.S. Department of the Treasury and the Federal Reserve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sufficiency of liquidity and changes in our capital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changes related to the businesses of our partners;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quality or composition of the Company’s loan or investment portfolios;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technological changes that may be more difficult or expensive than expected; and cyber threats, attacks or events;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of third party providers to perform as expected;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enter new markets successfully and capitalize on growth opportunities;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successfully integrate into its operations, any assets, liabilities, customers, systems and management personnel the Company may acquire and management’s ability to realize related revenue synergies and cost savings within expected time frames, and any goodwill charges related thereto;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accounting policies and practices, as may be adopted by the bank regulatory agencies, the Financial Accounting Standards Board, the Securities and Exchange Commission or the Public Company Accounting Oversight Board;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retain key employees;</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compensation expense associated with equity allocated or awarded to its employees;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adverse effects of unusual and infrequently occurring events, such as weather-related disasters, terrorist acts, geopolitical conflicts or public health events (such as pandemics), and of governmental and societal responses thereto;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financial condition, results of operations or future prospects of issuers of securities that the Company may own.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Additional factors that may affect the Company’s results are discussed in our Annual Report on Form 10-K for the year ended December 31, 2025 under the heading “Risk Factors” filed with the Securities and Exchange Commission (“SEC”) on March 13,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of these and other uncertainties, our actual future results may be materially different from the results indicated by these forward-looking statements. The Company is under no duty to and does not assume any obligation to update any forward-looking statements after the date they were made, whether as a result of new information, future events or otherwise.</w:t>
      </w:r>
    </w:p>
    <w:p>
      <w:pPr>
        <w:pStyle w:val="TextBody"/>
        <w:bidi w:val="0"/>
        <w:spacing w:before="200" w:after="283"/>
        <w:jc w:val="both"/>
        <w:rPr>
          <w:rFonts w:ascii="Times New Roman" w:hAnsi="Times New Roman"/>
          <w:sz w:val="20"/>
        </w:rPr>
      </w:pPr>
      <w:r>
        <w:rPr>
          <w:rFonts w:ascii="Times New Roman" w:hAnsi="Times New Roman"/>
          <w:b/>
          <w:color w:val="000000"/>
          <w:sz w:val="20"/>
        </w:rPr>
        <w:t>Federal Economic Relief Funds To Aid Lending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Emergency Capital Investment Program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On June 7, 2022 (the “Original Closing Date”), the Company issued 225,000 shares of the Company’s Preferred Stock‎, par value $0.01 (the “Preferred Stock”) for an aggregate purchase price equal to $225,000,000 in cash to the Treasury, pursuant to the Treasury’s ECIP. Under the ECIP, Treasury provided investment capital directly to depository institutions that are CDFIs or MDIs or their holding companies, to provide loans, grants, and forbearance for small businesses, minority-owned businesses, and consumers, in low-income and underserved communities. No dividends accrued or were due for the first two years after issuance. For years three through ten, depending upon the level of qualified and/or deep impact lending made in targeted communities, as defined in the ECIP guidelines, dividends will be at an annual rate of either 2.0%, 1.25% or 0.5% and, thereafter, will be fixed at one of the foregoing rates. If we are unable to make qualified and/or deep impact loans at required levels, we will be required to pay dividends at the higher annual rates.</w:t>
      </w:r>
      <w:r>
        <w:rPr>
          <w:rFonts w:ascii="Times New Roman" w:hAnsi="Times New Roman"/>
          <w:color w:val="1F497D"/>
          <w:sz w:val="20"/>
        </w:rPr>
        <w:t xml:space="preserve"> </w:t>
      </w:r>
      <w:r>
        <w:rPr>
          <w:rFonts w:ascii="Times New Roman" w:hAnsi="Times New Roman"/>
          <w:color w:val="000000"/>
          <w:sz w:val="20"/>
        </w:rPr>
        <w:t>Additionally, we may make qualified and/or deep impact loans that are riskier than we otherwise would in an effort to meet the lending requirements for the lower dividend rates and/or to qualify for the purchase option under the Repurchase Agreement (as described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Holders of Preferred Stock generally do not have any voting rights, with the exception of voting rights on certain matters as outlined in the Certificate of Designations. The Treasury is the holder of the Preferred Stock and a governmental entity, and the Treasury may hold interests that are different from a private investor in exercising its voting and other rights. In the event of a liquidation, dissolution or winding up of the Company, the Preferred Stock will be entitled to a liquidation preference, subject to certain limitations, in the amount of the sum of $1,000 per share plus declared and unpaid dividends (without accumulation of undeclared dividends) on each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participant in the ECIP, the Company must comply with certain operating requirements. Specifically, the Company must adopt the Treasury's standards for executive compensation and luxury expenses for the period during which the Treasury holds equity issued under the ECIP. These restrictions may make it difficult to adequately compensate our management team, which could impact our ability to retain qualified management. Additionally, under the ECIP regulations, the Company cannot pay dividends or repurchase its common stock unless it meets certain income-based tests and has paid the required dividends on the Preferred Stock. In June 2024, the Company began paying dividends on its Preferred Stock, which dividends were $0.6 million and $0.6 million for the six months ended June 30, 2026 and 2025,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December 20, 2024, the Company entered into an ECIP Securities Purchase Option Agreement (the “Repurchase Agreement”) with Treasury. Pursuant to the Repurchase Agreement, Treasury has granted the Company an option to purchase all of the Preferred Stock during the Option Period, which is the first fifteen years following the Original Closing Date. The purchase price for the Preferred Stock pursuant to the purchase option is determined based on a formula equal to the present value of the Preferred Stock, calculated as set forth in the Repurchase Agreement, together with any accrued and unpaid dividends thereon, as of the closing date. Subject to variations in interest rates and the equity risk premium, which are components included in the purchase price calculation, the Company presently expects that the purchase price will be at a substantial discount from the face value of the Preferred Stock. </w:t>
      </w:r>
    </w:p>
    <w:p>
      <w:pPr>
        <w:pStyle w:val="TextBody"/>
        <w:bidi w:val="0"/>
        <w:jc w:val="both"/>
        <w:rPr>
          <w:rFonts w:ascii="Times New Roman" w:hAnsi="Times New Roman"/>
          <w:color w:val="000000"/>
          <w:sz w:val="20"/>
        </w:rPr>
      </w:pPr>
      <w:r>
        <w:rPr>
          <w:rFonts w:ascii="Times New Roman" w:hAnsi="Times New Roman"/>
          <w:color w:val="000000"/>
          <w:sz w:val="20"/>
        </w:rPr>
        <w:t xml:space="preserve">The purchase option may not be exercised unless and until at least one of the Threshold Conditions under the Repurchase Agreement has been met. The Threshold Conditions are as follows: during the ten years that follow the Original Closing Date (the “ECIP Period”) either (1) over any sixteen consecutive quarters, an average of at least 60% of the Company’s Total Originations, as defined pursuant to the terms of the ECIP, qualifies as “Deep Impact Lending,” as defined pursuant to the terms of the ECIP (the “Deep Impact Condition”); (2) over any twenty-four consecutive quarters, an average of at least 85% of the Company’s Total Originations qualifies as “Qualified Lending,” as defined pursuant to the terms of the ECIP (the “Qualified Lending Condition”); or (3) the Preferred Stock has a dividend rate of no more than 0.5%, which dividend rate is calculated pursuant to the ECIP and the terms thereof, at each of six consecutive Reset Dates, as defined in the ECIP.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earliest possible date by which a Threshold Condition may be met is June 30, 2026, which is the end of the sixteenth consecutive quarter following the Original Closing Date. The Company believes it has met the Threshold Conditions to exercise the purchase option because the Company has reported sixteen consecutive quarters for which it has met both the Deep Impact and Qualified Lending Conditions. . The Preferred Stock currently has a dividend rate of 0.5%. </w:t>
      </w:r>
    </w:p>
    <w:p>
      <w:pPr>
        <w:pStyle w:val="TextBody"/>
        <w:bidi w:val="0"/>
        <w:jc w:val="both"/>
        <w:rPr>
          <w:rFonts w:ascii="Times New Roman" w:hAnsi="Times New Roman"/>
          <w:color w:val="000000"/>
          <w:sz w:val="20"/>
        </w:rPr>
      </w:pPr>
      <w:r>
        <w:rPr>
          <w:rFonts w:ascii="Times New Roman" w:hAnsi="Times New Roman"/>
          <w:color w:val="000000"/>
          <w:sz w:val="20"/>
        </w:rPr>
        <w:t>The closing of the repurchase of the Preferred Stock, if consummated, would occur between thirty and ninety days following the satisfaction of all applicable conditions, including the Threshold Condition. In addition to the requirement that a Threshold Condition be met, the Repurchase Agreement requires that the Company meet certain other eligibility conditions in order to exercise the purchase option in the future, including compliance with the terms of the original ECIP purchase agreement and the terms of the Preferred Stock, maintaining qualification as either a CDFI or an MDI, and meeting other legal and regulatory criteria. Although the Company currently expects that it will satisfy all other necessary conditions, there can be no assurance if and when such repurchase will be consummated with Treasury.</w:t>
      </w:r>
    </w:p>
    <w:p>
      <w:pPr>
        <w:pStyle w:val="TextBody"/>
        <w:bidi w:val="0"/>
        <w:jc w:val="both"/>
        <w:rPr>
          <w:rFonts w:ascii="Times New Roman" w:hAnsi="Times New Roman"/>
          <w:color w:val="000000"/>
          <w:sz w:val="20"/>
        </w:rPr>
      </w:pPr>
      <w:r>
        <w:rPr>
          <w:rFonts w:ascii="Times New Roman" w:hAnsi="Times New Roman"/>
          <w:color w:val="000000"/>
          <w:sz w:val="20"/>
        </w:rPr>
        <w:t>The Company believes that consummation of the repurchase of the Preferred Stock as contemplated by the Repurchase Agreement would be beneficial to its stockholders. As such, the Company expects to continue to emphasize its qualified Deep Impact Lending.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purchase option granted under the agreement is a freestanding financial instrument under GAAP. The Company analyzed the fair value of the repurchase option in accordance with ASC Topic 820 “Fair Value Measurements” and determined that the purchase option value is de minimis as of December 20, 2024, December 31, 2025 and June 30, 2026.</w:t>
      </w:r>
    </w:p>
    <w:p>
      <w:pPr>
        <w:pStyle w:val="TextBody"/>
        <w:bidi w:val="0"/>
        <w:jc w:val="both"/>
        <w:rPr/>
      </w:pPr>
      <w:r>
        <w:rPr/>
        <w:t> </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CDFI Financial Assistance Award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6, 2025, the Bank received a $1.3 million grant from the U.S. Treasury as part of the CDFI Financial Assistance Award Program. This award is given to CDFIs to support their operations and expand services in economically distressed communities.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Banking Development District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Bank's Westchester Avenue Branch located at 2244 Westchester Avenue in the Castle Hill area of the Bronx was approved as a Banking Development District ("BDD"). New York State’s BDD Program, administered by the Department of Financial Services ("DFS"), supports the establishment of bank and credit union branches in areas across New York State where there is a demonstrated need for banking services. To encourage participation, approved BDD branches receive access to subsidized and market rate deposits from New York State. On July 30, 2024, the Bank's Westchester Avenue Branch received total program deposits of $35.0 million. On June 24, 2025, the Bank's Westchester Avenue Branch received $10.0 million from the New York City Department of Finance. On June 23, 2026, the Bank's Westchester Avenue Branch received an additional $10.0 million from the New York City Department of Finance resulting in a total BDD Program deposit of $55.0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4, 2026, the Bank's Inwood Branch location 3879 9th Avenue in the Inwood area of New York was approved as a BDD by the DFS. In April of 2026, the Bank's Inwood Branch received a program deposit of $35.0 million from DFS. On June 23, 2026, the Bank's Inwood Branch received $10.0 million from the New York City Department of Finance resulting in a total BDD Program deposit of $45.0 million.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on May 20, 2026, the Bank received $20.0 million from the Community Bank Deposit Program in BDD Program deposit.</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Westchester Avenue Branch Re-Design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February 27, 2025, Ponce Bank officers and administrators and members of the public celebrated the Bank’s transformed Westchester Avenue Branch at its grand reopening. The transformed Branch is the result of the State-of-the-art Banking Technologies combined with Community Centric Banking that is customer friendly and supportive. </w:t>
      </w:r>
    </w:p>
    <w:p>
      <w:pPr>
        <w:pStyle w:val="TextBody"/>
        <w:bidi w:val="0"/>
        <w:jc w:val="both"/>
        <w:rPr>
          <w:rFonts w:ascii="Times New Roman" w:hAnsi="Times New Roman"/>
          <w:color w:val="000000"/>
          <w:sz w:val="20"/>
        </w:rPr>
      </w:pPr>
      <w:r>
        <w:rPr>
          <w:rFonts w:ascii="Times New Roman" w:hAnsi="Times New Roman"/>
          <w:color w:val="000000"/>
          <w:sz w:val="20"/>
        </w:rPr>
        <w:t>The transformation relaunched a process aimed at reinforcing the role of each banking branch as a "community hub" that attracts new depositors and business customers, but anchors Ponce Bank branches as community-centric destinations. The revitalization efforts include Open Tellers that invite a more consultative experience, managers located at a central hub of the branch, private space for sensitive conversations, and meeting spaces as well as open areas with teleconferencing and AV equipment to encourage community-wide gatherings.</w:t>
      </w:r>
    </w:p>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Inwood, New York Branch</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16, 2025, Ponce Bank opened another branch at its new location 3879 9th Avenue, New York, NY 10034. With its ribbon cutting ceremony on October 6, 2025, the Bank noted that this new branch at this Inwood location will create opportunities for residents and small business owners in one of Manhattan's most vibrant and diverse neighborhoods.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Ponce Bank Conversion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10, 2025, the Company's wholly-owned subsidiary, Ponce Bank (formerly a federally chartered stock savings association), completed its previously announced conversion to a national bank and commenced operations as Ponce Bank, National Association. In connection with the conversion of Ponce Bank, the Company also commenced operations as a bank holding company as of the same date. Further, the Company also became a financial holding company, which is an additional election that allows the Company to engage in activities that are financial in nature or incidental to a financial activity.</w:t>
      </w:r>
    </w:p>
    <w:p>
      <w:pPr>
        <w:pStyle w:val="TextBody"/>
        <w:bidi w:val="0"/>
        <w:jc w:val="both"/>
        <w:rPr>
          <w:rFonts w:ascii="Times New Roman" w:hAnsi="Times New Roman"/>
          <w:color w:val="000000"/>
          <w:sz w:val="20"/>
        </w:rPr>
      </w:pPr>
      <w:r>
        <w:rPr>
          <w:rFonts w:ascii="Times New Roman" w:hAnsi="Times New Roman"/>
          <w:color w:val="000000"/>
          <w:sz w:val="20"/>
        </w:rPr>
        <w:t>Ponce Bank sought to become a national bank in order to increase bank powers, including its eligibility to receive municipal deposits in New York. However, the Company and Ponce Bank do not expect any material changes in their core business as a result of the Company becoming a bank holding company and a financial holding company, and Ponce Bank becoming a national bank.</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Accounting estimates are necessary in the application of certain accounting policies and procedures and are particularly susceptible to significant change. Critical accounting policies are defined as those involving significant judgments and assumptions by management and that could have a material impact on the carrying value of certain assets, liabilities or on income under different assumptions or conditions. Management believes that the most critical accounting policy relates to the allowance for credit losses.</w:t>
      </w:r>
    </w:p>
    <w:p>
      <w:pPr>
        <w:pStyle w:val="TextBody"/>
        <w:bidi w:val="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Allowance for credit losses in accordance with ASU 2016-13, Measurement of Credit Losses on Financial Instruments (Topic 326), was a critical accounting policy in the preparation of the consolidated financial statements as of and for the period ended June 30, 2026.</w:t>
      </w:r>
    </w:p>
    <w:p>
      <w:pPr>
        <w:pStyle w:val="TextBody"/>
        <w:bidi w:val="0"/>
        <w:spacing w:before="40" w:after="240"/>
        <w:jc w:val="both"/>
        <w:rPr>
          <w:rFonts w:ascii="Times New Roman" w:hAnsi="Times New Roman"/>
          <w:sz w:val="20"/>
        </w:rPr>
      </w:pPr>
      <w:r>
        <w:rPr>
          <w:rFonts w:ascii="Times New Roman" w:hAnsi="Times New Roman"/>
          <w:b/>
          <w:i/>
          <w:color w:val="000000"/>
          <w:sz w:val="20"/>
        </w:rPr>
        <w:t>Allowance for credit loss</w:t>
      </w:r>
      <w:r>
        <w:rPr>
          <w:rFonts w:ascii="Times New Roman" w:hAnsi="Times New Roman"/>
          <w:color w:val="000000"/>
          <w:sz w:val="20"/>
        </w:rPr>
        <w:t>. The ACL on loans is management's estimate of expected credit losses over the expected life of the loans at the reporting date. The ACL on loans is increased through a provision for credit losses (“PCL”) recognized in the Consolidated Statements of Operations and by recoveries of amounts previously charged off. The ACL on loans is reduced by charge-offs on loans. Loan charge-offs are recognized when Management believes the collectability of the principal balance outstanding is unlikely. Full or partial charge-offs on collateral-dependent individually analyzed loans are generally recognized when the collateral is deemed to be insufficient to support the carrying value of the loan.</w:t>
      </w:r>
    </w:p>
    <w:p>
      <w:pPr>
        <w:pStyle w:val="TextBody"/>
        <w:bidi w:val="0"/>
        <w:jc w:val="both"/>
        <w:rPr>
          <w:rFonts w:ascii="Times New Roman" w:hAnsi="Times New Roman"/>
          <w:color w:val="000000"/>
          <w:sz w:val="20"/>
        </w:rPr>
      </w:pPr>
      <w:r>
        <w:rPr>
          <w:rFonts w:ascii="Times New Roman" w:hAnsi="Times New Roman"/>
          <w:color w:val="000000"/>
          <w:sz w:val="20"/>
        </w:rPr>
        <w:t xml:space="preserve">Policies with respect to the methodology used to determine the allowance for credit losses is a critical accounting policy and estimate because of its importance to presentation of the Company's financial condition and results of operations and high level of subjectivity. The critical accounting policy involves a higher degree of complexity and requires management to make difficult and subjective judgments which often require assumptions or estimates about highly uncertain matters. The use of different judgments, assumptions, and estimates could result in material differences in the results of operations or financial condition. The allowance for credit losses policy and its application is reviewed periodically, and at least annually, with the Audit Committee of the Board of Directors. </w:t>
      </w:r>
    </w:p>
    <w:p>
      <w:pPr>
        <w:pStyle w:val="TextBody"/>
        <w:bidi w:val="0"/>
        <w:spacing w:before="200" w:after="240"/>
        <w:jc w:val="left"/>
        <w:rPr>
          <w:rFonts w:ascii="Times New Roman" w:hAnsi="Times New Roman"/>
          <w:color w:val="000000"/>
          <w:sz w:val="20"/>
        </w:rPr>
      </w:pPr>
      <w:r>
        <w:rPr>
          <w:rFonts w:ascii="Times New Roman" w:hAnsi="Times New Roman"/>
          <w:color w:val="000000"/>
          <w:sz w:val="20"/>
        </w:rPr>
        <w:t>If our loss rate factor was to increase 10 basis points, our reserve would increase by approximately $2.9 million. Likewise, if our loss rate factor was to decrease 10 basis points, our reserve would decrease by approximately $2.9 million.</w:t>
      </w:r>
    </w:p>
    <w:p>
      <w:pPr>
        <w:pStyle w:val="TextBody"/>
        <w:bidi w:val="0"/>
        <w:jc w:val="both"/>
        <w:rPr>
          <w:rFonts w:ascii="Times New Roman" w:hAnsi="Times New Roman"/>
          <w:color w:val="000000"/>
          <w:sz w:val="20"/>
        </w:rPr>
      </w:pPr>
      <w:r>
        <w:rPr>
          <w:rFonts w:ascii="Times New Roman" w:hAnsi="Times New Roman"/>
          <w:color w:val="000000"/>
          <w:sz w:val="20"/>
        </w:rPr>
        <w:t>The discussion and analysis of the financial condition and results of operations are based on the Company’s consolidated financial statements, which are prepared in conformity with GAAP. The preparation of these consolidated financial statements requires management to make estimates and assumptions affecting the reported amounts of assets and liabilities, disclosure of contingent assets and liabilities, and the reported amounts of income and expenses. The estimates and assumptions used are based on historical experience and various other factors and are believed to be reasonable under the circumstances. Actual results may differ from these estimates under different assumptions or conditions, resulting in a change that could have a material impact on the carrying value of our assets and liabilities and our results of operations.</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Company's Growth</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continues its relationship with Raisin Solutions US LLC ("Raisin"), a fintech that focuses on gathering deposits for financial institutions through the Internet. As of June 30, 2026 and December 31, 2025, the Company had $671.5 million and $643.9 million, respectively, in such deposits, which the Company classifies as core deposits.</w:t>
      </w:r>
    </w:p>
    <w:p>
      <w:pPr>
        <w:pStyle w:val="TextBody"/>
        <w:bidi w:val="0"/>
        <w:jc w:val="both"/>
        <w:rPr>
          <w:rFonts w:ascii="Times New Roman" w:hAnsi="Times New Roman"/>
          <w:color w:val="000000"/>
          <w:sz w:val="20"/>
        </w:rPr>
      </w:pPr>
      <w:r>
        <w:rPr>
          <w:rFonts w:ascii="Times New Roman" w:hAnsi="Times New Roman"/>
          <w:color w:val="000000"/>
          <w:sz w:val="20"/>
        </w:rPr>
        <w:t xml:space="preserve">Because the Company, through Ponce Bank, is an MDI and a CDFI, deposits made by other financial institutions may be treated as CRA credits by those depository institutions.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At December 31, 2018, the first year after our initial public offering, the Company had approximately $1.06 billion in assets, $918.5 million in loans, net of allowance for credit losses of $12.7 million, and $809.8 million in deposits. The Company has since grown to $3.49 billion in assets, $2.88 billion in loans, net of allowance for credit losses of $27.6 million, and $2.27 billion in deposits at June 30, 2026, all while investing in infrastructure, implementing digital banking and diversifying its product offering. Now, the Company believes that it is poised to enhance its presence, locally and in similar communities outside New York, as a leading CDFI and MDI financial institution holding company.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Asset Quality Ratios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 below indicates the Key Metrics at or for the three months ended: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747"/>
        <w:gridCol w:w="146"/>
        <w:gridCol w:w="146"/>
        <w:gridCol w:w="676"/>
        <w:gridCol w:w="322"/>
        <w:gridCol w:w="146"/>
        <w:gridCol w:w="246"/>
        <w:gridCol w:w="970"/>
        <w:gridCol w:w="322"/>
        <w:gridCol w:w="146"/>
        <w:gridCol w:w="146"/>
        <w:gridCol w:w="676"/>
        <w:gridCol w:w="322"/>
        <w:gridCol w:w="194"/>
      </w:tblGrid>
      <w:tr>
        <w:trPr/>
        <w:tc>
          <w:tcPr>
            <w:tcW w:w="5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7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2"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At or for the Three Months Ended</w:t>
            </w:r>
          </w:p>
        </w:tc>
      </w:tr>
      <w:tr>
        <w:trPr/>
        <w:tc>
          <w:tcPr>
            <w:tcW w:w="57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on loans as a percentage of total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0.95</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Allowance for credit losses on loans as a percentage of nonperforming loans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116.91</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94.74</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101.01</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(charge-offs) recoveries to average outstanding loans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Non-performing loans as a percentage of total gross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4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Allowance for credit losses on loans as a percentage of nonperforming loans increased for the three months ended June 30, 2026 as a result of an increase in allowance for credit losses on loans to $27.6 million and a decrease in nonperforming loans to $23.6 million.</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Annualized.</w:t>
      </w:r>
    </w:p>
    <w:p>
      <w:pPr>
        <w:pStyle w:val="TextBody"/>
        <w:bidi w:val="0"/>
        <w:spacing w:before="400" w:after="283"/>
        <w:jc w:val="both"/>
        <w:rPr>
          <w:rFonts w:ascii="Times New Roman" w:hAnsi="Times New Roman"/>
          <w:b/>
          <w:color w:val="000000"/>
          <w:sz w:val="20"/>
        </w:rPr>
      </w:pPr>
      <w:r>
        <w:rPr>
          <w:rFonts w:ascii="Times New Roman" w:hAnsi="Times New Roman"/>
          <w:b/>
          <w:color w:val="000000"/>
          <w:sz w:val="20"/>
        </w:rPr>
        <w:t>Comparison of Financial Condition at June 30, 2026 and December 31, 2025</w:t>
      </w:r>
    </w:p>
    <w:p>
      <w:pPr>
        <w:pStyle w:val="TextBody"/>
        <w:bidi w:val="0"/>
        <w:spacing w:before="120" w:after="283"/>
        <w:jc w:val="both"/>
        <w:rPr>
          <w:rFonts w:ascii="Times New Roman" w:hAnsi="Times New Roman"/>
          <w:sz w:val="20"/>
        </w:rPr>
      </w:pPr>
      <w:r>
        <w:rPr>
          <w:rFonts w:ascii="Times New Roman" w:hAnsi="Times New Roman"/>
          <w:b/>
          <w:i/>
          <w:color w:val="000000"/>
          <w:sz w:val="20"/>
        </w:rPr>
        <w:t>Total Assets</w:t>
      </w:r>
      <w:r>
        <w:rPr>
          <w:rFonts w:ascii="Times New Roman" w:hAnsi="Times New Roman"/>
          <w:color w:val="000000"/>
          <w:sz w:val="20"/>
        </w:rPr>
        <w:t xml:space="preserve">. Total consolidated assets increased $270.7 million, or 8.4%, to $3.49 billion at June 30, 2026 from $3.22 billion at December 31, 2025. The increase in total assets is largely attributable to increases of $280.5 million in net loans receivable, $13.9 million in cash and cash equivalents, $2.0 million in accrued interest receivable, $1.5 million in deferred tax assets, $1.4 million in Federal Home Loan Bank of New York stock and $0.1 million in other assets, partially offset by decreases of $19.4 million in held-to-maturity securities, $7.4 million in available-for-sale securities, $1.0 million in premises and equipment, net, $0.5 million in right of use assets and $0.3 million in mortgage loans held for sale, at fair value. </w:t>
      </w:r>
    </w:p>
    <w:p>
      <w:pPr>
        <w:pStyle w:val="TextBody"/>
        <w:bidi w:val="0"/>
        <w:spacing w:before="120" w:after="283"/>
        <w:jc w:val="both"/>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Cash and cash equivalents increased $13.9 million, or 11.0%, to $140.0 million at June 30, 2026, compared to $126.2 million at December 31, 2025. The increase in cash and cash equivalents was primarily the result of an increase of $225.2 million in net deposits, $27.0 million in proceeds from maturities and principal repayment on securities, $25.0 million in net proceeds in borrowings and $4.2 million from sale of loans. The increase in cash and cash equivalents was offset primarily by increases of $287.6 million in net loans and $2.0 million in accrued interest receivables and $1.4 million in net (purchases) redemption of FHLBNY stock.</w:t>
      </w:r>
    </w:p>
    <w:p>
      <w:pPr>
        <w:pStyle w:val="TextBody"/>
        <w:bidi w:val="0"/>
        <w:spacing w:before="200" w:after="283"/>
        <w:jc w:val="both"/>
        <w:rPr>
          <w:rFonts w:ascii="Times New Roman" w:hAnsi="Times New Roman"/>
          <w:sz w:val="20"/>
        </w:rPr>
      </w:pPr>
      <w:r>
        <w:rPr>
          <w:rFonts w:ascii="Times New Roman" w:hAnsi="Times New Roman"/>
          <w:b/>
          <w:i/>
          <w:color w:val="000000"/>
          <w:sz w:val="20"/>
        </w:rPr>
        <w:t>Securities.</w:t>
      </w:r>
      <w:r>
        <w:rPr>
          <w:rFonts w:ascii="Times New Roman" w:hAnsi="Times New Roman"/>
          <w:color w:val="000000"/>
          <w:sz w:val="20"/>
        </w:rPr>
        <w:t xml:space="preserve"> The Company securities portfolio decreased $7.4 million, or 8.1%, to $84.8 million in available-for-sale at June 30, 2026 from $92.2 million December 31, 2025 and decreased $19.4 million, or 7.1%, to $253.6 million in held-to-maturity at June 30, 2026 from $273.0 million at December 31, 2025. The decrease in the securities portfolio was primarily due to regular principal payments and the maturity of one available-for-sale security in the amount of $3.0 million.</w:t>
      </w:r>
    </w:p>
    <w:p>
      <w:pPr>
        <w:pStyle w:val="TextBody"/>
        <w:bidi w:val="0"/>
        <w:spacing w:before="200" w:after="200"/>
        <w:jc w:val="both"/>
        <w:rPr>
          <w:rFonts w:ascii="Times New Roman" w:hAnsi="Times New Roman"/>
          <w:sz w:val="20"/>
        </w:rPr>
      </w:pPr>
      <w:r>
        <w:rPr>
          <w:rFonts w:ascii="Times New Roman" w:hAnsi="Times New Roman"/>
          <w:b/>
          <w:i/>
          <w:color w:val="000000"/>
          <w:sz w:val="20"/>
        </w:rPr>
        <w:t>Portfolio Maturities and Yields</w:t>
      </w:r>
      <w:r>
        <w:rPr>
          <w:rFonts w:ascii="Times New Roman" w:hAnsi="Times New Roman"/>
          <w:color w:val="000000"/>
          <w:sz w:val="20"/>
        </w:rPr>
        <w:t xml:space="preserve">. The composition and maturities of the investment securities portfolio at June 30, 2026 are summarized in the following table. Maturities are based on the final contractual payment dates, and do not reflect the effect of scheduled principal repayments, prepayments, or early redemptions that may occur. Adjustable-rate mortgage-backed securities are included in the period in which interest rates are next scheduled to adjust. The weighted average yield is calculated based on the yield to maturity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weighted for the size of each debt security over the entire portfolio of debt securities. The weighted average yields on tax-exempt obligations have been computed on a tax-equivalent basis.</w:t>
      </w:r>
    </w:p>
    <w:tbl>
      <w:tblPr>
        <w:tblW w:w="16283" w:type="dxa"/>
        <w:jc w:val="left"/>
        <w:tblInd w:w="0" w:type="dxa"/>
        <w:tblLayout w:type="fixed"/>
        <w:tblCellMar>
          <w:top w:w="28" w:type="dxa"/>
          <w:left w:w="28" w:type="dxa"/>
          <w:bottom w:w="28" w:type="dxa"/>
          <w:right w:w="28" w:type="dxa"/>
        </w:tblCellMar>
      </w:tblPr>
      <w:tblGrid>
        <w:gridCol w:w="1526"/>
        <w:gridCol w:w="146"/>
        <w:gridCol w:w="232"/>
        <w:gridCol w:w="444"/>
        <w:gridCol w:w="546"/>
        <w:gridCol w:w="546"/>
        <w:gridCol w:w="178"/>
        <w:gridCol w:w="423"/>
        <w:gridCol w:w="211"/>
        <w:gridCol w:w="146"/>
        <w:gridCol w:w="193"/>
        <w:gridCol w:w="483"/>
        <w:gridCol w:w="146"/>
        <w:gridCol w:w="146"/>
        <w:gridCol w:w="173"/>
        <w:gridCol w:w="428"/>
        <w:gridCol w:w="611"/>
        <w:gridCol w:w="546"/>
        <w:gridCol w:w="181"/>
        <w:gridCol w:w="526"/>
        <w:gridCol w:w="306"/>
        <w:gridCol w:w="306"/>
        <w:gridCol w:w="173"/>
        <w:gridCol w:w="428"/>
        <w:gridCol w:w="211"/>
        <w:gridCol w:w="146"/>
        <w:gridCol w:w="181"/>
        <w:gridCol w:w="601"/>
        <w:gridCol w:w="546"/>
        <w:gridCol w:w="546"/>
        <w:gridCol w:w="173"/>
        <w:gridCol w:w="428"/>
        <w:gridCol w:w="211"/>
        <w:gridCol w:w="146"/>
        <w:gridCol w:w="181"/>
        <w:gridCol w:w="601"/>
        <w:gridCol w:w="151"/>
        <w:gridCol w:w="146"/>
        <w:gridCol w:w="181"/>
        <w:gridCol w:w="601"/>
        <w:gridCol w:w="466"/>
        <w:gridCol w:w="466"/>
        <w:gridCol w:w="173"/>
        <w:gridCol w:w="428"/>
        <w:gridCol w:w="656"/>
      </w:tblGrid>
      <w:tr>
        <w:trPr/>
        <w:tc>
          <w:tcPr>
            <w:tcW w:w="1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One Year or Less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More than One Year</w:t>
              <w:br/>
              <w:t>through Five Years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More than Five Years</w:t>
              <w:br/>
              <w:t>through Ten Years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More than Ten Years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Amortized</w:t>
              <w:br/>
              <w:t>Cost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Weighted</w:t>
              <w:br/>
              <w:t>Average</w:t>
              <w:br/>
              <w:t>Yield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Weighted</w:t>
              <w:br/>
              <w:t>Average</w:t>
              <w:br/>
              <w:t>Yield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Amortized</w:t>
              <w:br/>
              <w:t>Cost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Weighted</w:t>
              <w:br/>
              <w:t>Average</w:t>
              <w:br/>
              <w:t>Yield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Amortized</w:t>
              <w:br/>
              <w:t>Cost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Weighted</w:t>
              <w:br/>
              <w:t>Average</w:t>
              <w:br/>
              <w:t>Yield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Amortized</w:t>
              <w:br/>
              <w:t>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w:t>
              <w:br/>
              <w:t>Value</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Weighted</w:t>
              <w:br/>
              <w:t>Average</w:t>
              <w:br/>
              <w:t>Yield</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5" w:type="dxa"/>
            <w:gridSpan w:val="4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(Dollars in thousands)</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Available-for-Sale</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9,500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13,094</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Mortgage-Backed</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5"/>
              </w:rPr>
            </w:pPr>
            <w:r>
              <w:rPr>
                <w:rFonts w:ascii="Times New Roman" w:hAnsi="Times New Roman"/>
                <w:color w:val="000000"/>
                <w:sz w:val="15"/>
              </w:rPr>
              <w:t xml:space="preserve">Collateralized Mortgage Obligations </w:t>
            </w:r>
            <w:r>
              <w:rPr>
                <w:rFonts w:ascii="Times New Roman" w:hAnsi="Times New Roman"/>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29,262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24,482</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w:t>
            </w:r>
          </w:p>
        </w:tc>
        <w:tc>
          <w:tcPr>
            <w:tcW w:w="6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FHLMC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7,391</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6,573</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w:t>
            </w:r>
          </w:p>
        </w:tc>
        <w:tc>
          <w:tcPr>
            <w:tcW w:w="6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FNMA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7,354</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40,794</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48,148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40,553</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w:t>
            </w:r>
          </w:p>
        </w:tc>
        <w:tc>
          <w:tcPr>
            <w:tcW w:w="6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GNMA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5.44</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Total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16,854</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77,518</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98,372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84,774</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 xml:space="preserve">Held-to-Maturity </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7,500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7,423</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6.40</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Mortgage-Backed</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5"/>
              </w:rPr>
            </w:pPr>
            <w:r>
              <w:rPr>
                <w:rFonts w:ascii="Times New Roman" w:hAnsi="Times New Roman"/>
                <w:color w:val="000000"/>
                <w:sz w:val="15"/>
              </w:rPr>
              <w:t xml:space="preserve">Collateralized Mortgage Obligations </w:t>
            </w:r>
            <w:r>
              <w:rPr>
                <w:rFonts w:ascii="Times New Roman" w:hAnsi="Times New Roman"/>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145,902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148,066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143,727</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3.92</w:t>
            </w:r>
          </w:p>
        </w:tc>
        <w:tc>
          <w:tcPr>
            <w:tcW w:w="6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FHLMC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2,924</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2,836</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4.86</w:t>
            </w:r>
          </w:p>
        </w:tc>
        <w:tc>
          <w:tcPr>
            <w:tcW w:w="6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FNMA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79,254</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84,975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82,558</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4.57</w:t>
            </w:r>
          </w:p>
        </w:tc>
        <w:tc>
          <w:tcPr>
            <w:tcW w:w="6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SBA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3,876</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6,485</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10,421</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5.88</w:t>
            </w:r>
          </w:p>
        </w:tc>
        <w:tc>
          <w:tcPr>
            <w:tcW w:w="6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Total held-to-maturity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11,376</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234,565</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253,616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246,965</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w:t>
            </w:r>
          </w:p>
        </w:tc>
        <w:tc>
          <w:tcPr>
            <w:tcW w:w="6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jc w:val="both"/>
        <w:rPr>
          <w:rFonts w:ascii="Times New Roman" w:hAnsi="Times New Roman"/>
          <w:color w:val="000000"/>
          <w:sz w:val="18"/>
        </w:rPr>
      </w:pPr>
      <w:r>
        <w:rPr>
          <w:rFonts w:ascii="Times New Roman" w:hAnsi="Times New Roman"/>
          <w:color w:val="000000"/>
          <w:sz w:val="18"/>
        </w:rPr>
        <w:t>Comprised of Federal Home Loan Mortgage Corporation (“FHLMC”), Federal National Mortgage Association (“FNMA”) and Ginnie Mae (“GNMA”) issued securities.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 xml:space="preserve">Gross Loans Receivable. </w:t>
      </w:r>
      <w:r>
        <w:rPr>
          <w:rFonts w:ascii="Times New Roman" w:hAnsi="Times New Roman"/>
          <w:color w:val="000000"/>
          <w:sz w:val="20"/>
        </w:rPr>
        <w:t>The composition of gross loans receivable at June 30, 2026 and at December 31, 2025 and the percentage of each classification to total loans are summarized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194"/>
        <w:gridCol w:w="146"/>
        <w:gridCol w:w="211"/>
        <w:gridCol w:w="931"/>
        <w:gridCol w:w="146"/>
        <w:gridCol w:w="146"/>
        <w:gridCol w:w="146"/>
        <w:gridCol w:w="571"/>
        <w:gridCol w:w="271"/>
        <w:gridCol w:w="146"/>
        <w:gridCol w:w="211"/>
        <w:gridCol w:w="931"/>
        <w:gridCol w:w="146"/>
        <w:gridCol w:w="146"/>
        <w:gridCol w:w="146"/>
        <w:gridCol w:w="571"/>
        <w:gridCol w:w="271"/>
        <w:gridCol w:w="146"/>
        <w:gridCol w:w="211"/>
        <w:gridCol w:w="781"/>
        <w:gridCol w:w="166"/>
        <w:gridCol w:w="146"/>
        <w:gridCol w:w="157"/>
        <w:gridCol w:w="504"/>
        <w:gridCol w:w="764"/>
      </w:tblGrid>
      <w:tr>
        <w:trPr/>
        <w:tc>
          <w:tcPr>
            <w:tcW w:w="21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2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01"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1-4 Family residential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w:t>
            </w:r>
          </w:p>
        </w:tc>
        <w:tc>
          <w:tcPr>
            <w:tcW w:w="7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1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Multifamily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39.8</w:t>
            </w:r>
          </w:p>
        </w:tc>
        <w:tc>
          <w:tcPr>
            <w:tcW w:w="7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1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Nonresidential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w:t>
            </w:r>
          </w:p>
        </w:tc>
        <w:tc>
          <w:tcPr>
            <w:tcW w:w="7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1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Construction and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817,151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854,096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w:t>
            </w:r>
          </w:p>
        </w:tc>
        <w:tc>
          <w:tcPr>
            <w:tcW w:w="7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21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Business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36.5</w:t>
            </w:r>
          </w:p>
        </w:tc>
        <w:tc>
          <w:tcPr>
            <w:tcW w:w="7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1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Consumer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w:t>
            </w:r>
          </w:p>
        </w:tc>
        <w:tc>
          <w:tcPr>
            <w:tcW w:w="7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1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36.0</w:t>
            </w:r>
          </w:p>
        </w:tc>
        <w:tc>
          <w:tcPr>
            <w:tcW w:w="7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1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2,909,642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2,624,910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jc w:val="both"/>
        <w:rPr>
          <w:rFonts w:ascii="Times New Roman" w:hAnsi="Times New Roman"/>
          <w:color w:val="000000"/>
          <w:sz w:val="18"/>
        </w:rPr>
      </w:pPr>
      <w:r>
        <w:rPr>
          <w:rFonts w:ascii="Times New Roman" w:hAnsi="Times New Roman"/>
          <w:color w:val="000000"/>
          <w:sz w:val="18"/>
        </w:rPr>
        <w:t>Includes both investor owned and owner occupied 1-4 family residential properties combined, which were previously reported separately.</w:t>
      </w:r>
    </w:p>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b/>
          <w:i/>
          <w:color w:val="000000"/>
          <w:sz w:val="20"/>
        </w:rPr>
        <w:t xml:space="preserve">Contractual Maturities. </w:t>
      </w:r>
      <w:r>
        <w:rPr>
          <w:rFonts w:ascii="Times New Roman" w:hAnsi="Times New Roman"/>
          <w:color w:val="000000"/>
          <w:sz w:val="20"/>
        </w:rPr>
        <w:t>The following table sets forth the contractual maturities of the Bank’s total loan portfolio, excluding mortgage loans held for sale, at June 30, 2026. Demand loans, loans having no stated repayment schedule or maturity, and overdraft loans are reported as being due in one year or less. The table presents contractual maturities and does not reflect repricing or the effect of prepayments. Actual maturities may differ.</w:t>
      </w:r>
    </w:p>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38"/>
        <w:gridCol w:w="146"/>
        <w:gridCol w:w="196"/>
        <w:gridCol w:w="691"/>
        <w:gridCol w:w="146"/>
        <w:gridCol w:w="146"/>
        <w:gridCol w:w="219"/>
        <w:gridCol w:w="773"/>
        <w:gridCol w:w="146"/>
        <w:gridCol w:w="146"/>
        <w:gridCol w:w="393"/>
        <w:gridCol w:w="1387"/>
        <w:gridCol w:w="146"/>
        <w:gridCol w:w="146"/>
        <w:gridCol w:w="326"/>
        <w:gridCol w:w="1153"/>
        <w:gridCol w:w="146"/>
        <w:gridCol w:w="146"/>
        <w:gridCol w:w="196"/>
        <w:gridCol w:w="826"/>
        <w:gridCol w:w="793"/>
      </w:tblGrid>
      <w:tr>
        <w:trPr/>
        <w:tc>
          <w:tcPr>
            <w:tcW w:w="19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19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At June 30, 2026</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One year</w:t>
              <w:br/>
              <w:t>or less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More than</w:t>
              <w:br/>
              <w:t>one year</w:t>
              <w:br/>
              <w:t> to five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More than five to fifteen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More than fifteen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1-4 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426,343</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Multifamily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1,057,612</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Nonresidential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535,521</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Construction and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482,893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334,258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817,151</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93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909,116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2,836,627</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Business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72,438</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Consumer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nonmortgage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73,015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193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746,435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704,472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928,579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530,156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2,909,642</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 table sets forth the Bank's fixed and adjustable-rate loans at June 30, 2026 that are contractually due after June 30, 2027.</w:t>
      </w:r>
    </w:p>
    <w:tbl>
      <w:tblPr>
        <w:tblW w:w="6728" w:type="dxa"/>
        <w:jc w:val="left"/>
        <w:tblInd w:w="0" w:type="dxa"/>
        <w:tblLayout w:type="fixed"/>
        <w:tblCellMar>
          <w:top w:w="28" w:type="dxa"/>
          <w:left w:w="28" w:type="dxa"/>
          <w:bottom w:w="28" w:type="dxa"/>
          <w:right w:w="28" w:type="dxa"/>
        </w:tblCellMar>
      </w:tblPr>
      <w:tblGrid>
        <w:gridCol w:w="2276"/>
        <w:gridCol w:w="146"/>
        <w:gridCol w:w="196"/>
        <w:gridCol w:w="691"/>
        <w:gridCol w:w="146"/>
        <w:gridCol w:w="146"/>
        <w:gridCol w:w="196"/>
        <w:gridCol w:w="826"/>
        <w:gridCol w:w="146"/>
        <w:gridCol w:w="146"/>
        <w:gridCol w:w="196"/>
        <w:gridCol w:w="826"/>
        <w:gridCol w:w="791"/>
      </w:tblGrid>
      <w:tr>
        <w:trPr/>
        <w:tc>
          <w:tcPr>
            <w:tcW w:w="2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Due After June 30, 2027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Fixed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Adjustable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1-4 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423,097</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Multifamily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797,527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864,311</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Nonresidential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508,946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Construction and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310,075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334,258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2,019,926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2,130,612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Business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32,114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Consumer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nonmortgage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32,595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2,047,668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2,163,207</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Based on current internal loan reviews, the Company believes that the quality of our underwriting, our weighted average loan-to-value ratio of 51.2% and our customer selection processes have served us well and provided us with a reliable base with which to maintain a well-protected loan portfolio.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Multifamily residential loans increased $301.1 million, or 39.8%, when compared to December 31, 2025. The majority of the increases in multifamily residential loans that were refinanced from construction and land loans to a new permanent loan facility. </w:t>
      </w:r>
    </w:p>
    <w:p>
      <w:pPr>
        <w:pStyle w:val="TextBody"/>
        <w:bidi w:val="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Construction and land loans decreased $36.9 million, or 4.3%, when compared to December 31, 2025. The $36.9 million decrease in construction and land mortgage loans is related to loans that were refinanced from construction and land loans to new permanent loan facilities, offset by funding of existing commitments prior to 2026 and new commitments.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Our commitments to grant new mortgage loans increased by $161.5 million as of June 30, 2026 compared to December 31, 2025. See Note 10 ("Commitments, Contingencies and Credit Risk") of Notes to the Consolidated Financial Statements. </w:t>
      </w:r>
    </w:p>
    <w:p>
      <w:pPr>
        <w:pStyle w:val="TextBody"/>
        <w:bidi w:val="0"/>
        <w:jc w:val="both"/>
        <w:rPr>
          <w:rFonts w:ascii="Times New Roman" w:hAnsi="Times New Roman"/>
          <w:color w:val="000000"/>
          <w:sz w:val="20"/>
        </w:rPr>
      </w:pPr>
      <w:r>
        <w:rPr>
          <w:rFonts w:ascii="Times New Roman" w:hAnsi="Times New Roman"/>
          <w:color w:val="000000"/>
          <w:sz w:val="20"/>
        </w:rPr>
        <w:t>The Company had 73 construction and land mortgage loans with balances of $817.1 million as indicated in the table above. Of those loans, 24 loans with aggregate balances of $339.4 million, or 32.9%, of the total, have a percentage of completion of 80% or more. Within those 24 loans there are 12 loans with balances of $161.0 million that are 100% completed and received their certificates of occupancy.</w:t>
      </w:r>
    </w:p>
    <w:p>
      <w:pPr>
        <w:pStyle w:val="TextBody"/>
        <w:bidi w:val="0"/>
        <w:jc w:val="both"/>
        <w:rPr>
          <w:rFonts w:ascii="Times New Roman" w:hAnsi="Times New Roman"/>
          <w:color w:val="000000"/>
          <w:sz w:val="20"/>
        </w:rPr>
      </w:pPr>
      <w:r>
        <w:rPr>
          <w:rFonts w:ascii="Times New Roman" w:hAnsi="Times New Roman"/>
          <w:color w:val="000000"/>
          <w:sz w:val="20"/>
        </w:rPr>
        <w:t xml:space="preserve">Commercial real estate loans, as defined by applicable banking regulations, include multifamily residential, nonresidential properties, and construction and land mortgage loans. At June 30, 2026 and December 31, 2025, approximately 2.7% and 3.1%, respectively, of the outstanding principal balance of the Bank’s commercial real estate mortgage loans were secured by owner-occupied commercial real estate. Owner-occupied commercial real estate is similar in many ways to commercial and industrial lending in that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these loans are generally made to businesses predominantly on the basis of the cash flows of the business rather than on valuation of the real estate.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Banking regulations have established guidelines relating to the amount of construction and land mortgage loans and investor- owned commercial real estate mortgage loans of 100% and 300% of total risk-based capital, respectively. Should a bank’s ratios be in excess of these guidelines, banking regulations generally require an increased level of monitoring in these lending areas by bank management. The Bank’s policy is to operate within the 200% guideline for construction and land mortgage loans and up to 450% for investor-owned commercial real estate mortgage loans. Both ratios are calculated by dividing certain types of loan balances for each of the two categories by the Bank’s total risk-based capital. At June 30, 2026 and December 31, 2025, the Bank’s construction and land mortgage loans as a percentage of total risk-based capital was 143.5% and 156.7%, respectively. Investor-owned commercial real estate mortgage loans as a percentage of total risk-based capital was 416.0% and 393.1% as of June 30, 2026 and December 31, 2025, respectively. At June 30, 2026, the Bank was above the 100% guidelines established by the banking regulations and under the 200% guidelines set by the Bank for construction and land mortgage loans and above the 300% guideline established by banking regulators but under the 450% guidelines set by the Bank for investor owned commercial real estate mortgage loans. Management believes that it has established the appropriate level of controls to monitor the Bank’s lending in these areas. </w:t>
      </w:r>
    </w:p>
    <w:p>
      <w:pPr>
        <w:pStyle w:val="TextBody"/>
        <w:bidi w:val="0"/>
        <w:spacing w:before="240" w:after="283"/>
        <w:jc w:val="both"/>
        <w:rPr>
          <w:rFonts w:ascii="Times New Roman" w:hAnsi="Times New Roman"/>
          <w:sz w:val="20"/>
        </w:rPr>
      </w:pPr>
      <w:r>
        <w:rPr>
          <w:rFonts w:ascii="Times New Roman" w:hAnsi="Times New Roman"/>
          <w:b/>
          <w:i/>
          <w:color w:val="000000"/>
          <w:sz w:val="20"/>
        </w:rPr>
        <w:t>Allocation of Allowance for Credit Losses.</w:t>
      </w:r>
      <w:r>
        <w:rPr>
          <w:rFonts w:ascii="Times New Roman" w:hAnsi="Times New Roman"/>
          <w:color w:val="000000"/>
          <w:sz w:val="20"/>
        </w:rPr>
        <w:t xml:space="preserve"> The table below presents a breakdown of the allowance for credit losses by loan class.</w:t>
      </w:r>
    </w:p>
    <w:p>
      <w:pPr>
        <w:pStyle w:val="TextBody"/>
        <w:bidi w:val="0"/>
        <w:jc w:val="both"/>
        <w:rPr/>
      </w:pPr>
      <w:r>
        <w:rPr/>
        <w:t> </w:t>
      </w:r>
    </w:p>
    <w:tbl>
      <w:tblPr>
        <w:tblW w:w="10109" w:type="dxa"/>
        <w:jc w:val="left"/>
        <w:tblInd w:w="0" w:type="dxa"/>
        <w:tblLayout w:type="fixed"/>
        <w:tblCellMar>
          <w:top w:w="28" w:type="dxa"/>
          <w:left w:w="28" w:type="dxa"/>
          <w:bottom w:w="28" w:type="dxa"/>
          <w:right w:w="28" w:type="dxa"/>
        </w:tblCellMar>
      </w:tblPr>
      <w:tblGrid>
        <w:gridCol w:w="2276"/>
        <w:gridCol w:w="146"/>
        <w:gridCol w:w="316"/>
        <w:gridCol w:w="974"/>
        <w:gridCol w:w="146"/>
        <w:gridCol w:w="146"/>
        <w:gridCol w:w="351"/>
        <w:gridCol w:w="1239"/>
        <w:gridCol w:w="256"/>
        <w:gridCol w:w="146"/>
        <w:gridCol w:w="316"/>
        <w:gridCol w:w="974"/>
        <w:gridCol w:w="166"/>
        <w:gridCol w:w="166"/>
        <w:gridCol w:w="351"/>
        <w:gridCol w:w="1239"/>
        <w:gridCol w:w="901"/>
      </w:tblGrid>
      <w:tr>
        <w:trPr/>
        <w:tc>
          <w:tcPr>
            <w:tcW w:w="2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December 31, 2025</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 of Loans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 of Loans</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Allowance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Each Category</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Allowance for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Each Category</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 Total Loans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Credit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 Total Loans</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1-4 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Multifamily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Nonresidential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Construction and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Business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Consumer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nonmortgage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both"/>
        <w:rPr>
          <w:rFonts w:ascii="Times New Roman" w:hAnsi="Times New Roman"/>
          <w:sz w:val="20"/>
        </w:rPr>
      </w:pPr>
      <w:r>
        <w:rPr>
          <w:rFonts w:ascii="Times New Roman" w:hAnsi="Times New Roman"/>
          <w:b/>
          <w:i/>
          <w:color w:val="000000"/>
          <w:sz w:val="20"/>
        </w:rPr>
        <w:t>Loans</w:t>
      </w:r>
      <w:r>
        <w:rPr>
          <w:rFonts w:ascii="Times New Roman" w:hAnsi="Times New Roman"/>
          <w:color w:val="000000"/>
          <w:sz w:val="20"/>
        </w:rPr>
        <w:t xml:space="preserve"> </w:t>
      </w:r>
      <w:r>
        <w:rPr>
          <w:rFonts w:ascii="Times New Roman" w:hAnsi="Times New Roman"/>
          <w:b/>
          <w:i/>
          <w:color w:val="000000"/>
          <w:sz w:val="20"/>
        </w:rPr>
        <w:t>Held For Sale</w:t>
      </w:r>
      <w:r>
        <w:rPr>
          <w:rFonts w:ascii="Times New Roman" w:hAnsi="Times New Roman"/>
          <w:color w:val="000000"/>
          <w:sz w:val="20"/>
        </w:rPr>
        <w:t>. Loans held for sale, at fair value, at June 30, 2026 decreased $0.3 million, or 10.0%, to $3.1 million from $3.4 million at December 31, 2025.</w:t>
      </w:r>
    </w:p>
    <w:p>
      <w:pPr>
        <w:pStyle w:val="TextBody"/>
        <w:bidi w:val="0"/>
        <w:jc w:val="both"/>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Deposits.</w:t>
      </w:r>
      <w:r>
        <w:rPr>
          <w:rFonts w:ascii="Times New Roman" w:hAnsi="Times New Roman"/>
          <w:color w:val="000000"/>
          <w:sz w:val="20"/>
        </w:rPr>
        <w:t xml:space="preserve"> The composition of deposits at June 30, 2026 and December 31, 2025 and changes in dollars and percentages are summarized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58"/>
        <w:gridCol w:w="146"/>
        <w:gridCol w:w="196"/>
        <w:gridCol w:w="826"/>
        <w:gridCol w:w="146"/>
        <w:gridCol w:w="146"/>
        <w:gridCol w:w="146"/>
        <w:gridCol w:w="511"/>
        <w:gridCol w:w="256"/>
        <w:gridCol w:w="146"/>
        <w:gridCol w:w="196"/>
        <w:gridCol w:w="826"/>
        <w:gridCol w:w="146"/>
        <w:gridCol w:w="146"/>
        <w:gridCol w:w="146"/>
        <w:gridCol w:w="511"/>
        <w:gridCol w:w="256"/>
        <w:gridCol w:w="146"/>
        <w:gridCol w:w="196"/>
        <w:gridCol w:w="691"/>
        <w:gridCol w:w="166"/>
        <w:gridCol w:w="146"/>
        <w:gridCol w:w="146"/>
        <w:gridCol w:w="481"/>
        <w:gridCol w:w="729"/>
      </w:tblGrid>
      <w:tr>
        <w:trPr/>
        <w:tc>
          <w:tcPr>
            <w:tcW w:w="2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Increase (Decrease)</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of Total</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of Total</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(Dollars in thousands)</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Demand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251,919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Interest-bearing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NOW/IOLA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7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Money market accounts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779,532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7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Reciprocal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7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Savings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117,708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7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NOW, money market, reciprocal and savings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1,281,105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w:t>
            </w:r>
          </w:p>
        </w:tc>
        <w:tc>
          <w:tcPr>
            <w:tcW w:w="25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1,133,882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25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7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Certificates of deposit of $250K or more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7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Brokered certificates of deposit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w:t>
            </w:r>
          </w:p>
        </w:tc>
        <w:tc>
          <w:tcPr>
            <w:tcW w:w="7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Listing service deposits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w:t>
            </w:r>
          </w:p>
        </w:tc>
        <w:tc>
          <w:tcPr>
            <w:tcW w:w="7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Certificates of deposit less than $250K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448,772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429,911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7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738,785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interest-bearing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2,019,890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1,838,385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181,505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7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2,271,809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2,046,635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225,174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60" w:after="283"/>
        <w:jc w:val="both"/>
        <w:rPr>
          <w:rFonts w:ascii="Times New Roman" w:hAnsi="Times New Roman"/>
          <w:color w:val="000000"/>
          <w:sz w:val="18"/>
        </w:rPr>
      </w:pPr>
      <w:r>
        <w:rPr>
          <w:rFonts w:ascii="Times New Roman" w:hAnsi="Times New Roman"/>
          <w:color w:val="000000"/>
          <w:sz w:val="18"/>
        </w:rPr>
        <w:t>As of June 30, 2026 and December 31, 2025, there were $50.2 million and $0.3 million, respectively, in brokered deposits.</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 xml:space="preserve">At June 30, 2026 and December 31, 2025, there were no individual listing service deposits amounting to $250,000 or more. All other brokered certificates of deposit individually amounted to less than $250,000.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When wholesale funding is necessary to complement the Company's core deposit base, management determines which source is best suited to address both liquidity risk and interest rate risk in line with management objectives. The Company’s Interest Rate Risk Policy imposes limitations on overall wholesale funding and noncore funding reliance. The overall reliance on wholesale funding and noncore funding were within those policy limitations as of June 30, 2026 and December 31, 2025. The Management Asset/Liability Committee generally meets on a monthly basis to review funding needs, if any, and to ensure the Company operates within the approved limitations.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the average balance and weighted average rate of deposits for the periods indicated.</w:t>
      </w:r>
    </w:p>
    <w:p>
      <w:pPr>
        <w:pStyle w:val="TextBody"/>
        <w:bidi w:val="0"/>
        <w:spacing w:before="20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673"/>
        <w:gridCol w:w="146"/>
        <w:gridCol w:w="196"/>
        <w:gridCol w:w="826"/>
        <w:gridCol w:w="146"/>
        <w:gridCol w:w="546"/>
        <w:gridCol w:w="146"/>
        <w:gridCol w:w="601"/>
        <w:gridCol w:w="256"/>
        <w:gridCol w:w="146"/>
        <w:gridCol w:w="216"/>
        <w:gridCol w:w="625"/>
        <w:gridCol w:w="256"/>
        <w:gridCol w:w="146"/>
        <w:gridCol w:w="196"/>
        <w:gridCol w:w="826"/>
        <w:gridCol w:w="146"/>
        <w:gridCol w:w="546"/>
        <w:gridCol w:w="150"/>
        <w:gridCol w:w="526"/>
        <w:gridCol w:w="256"/>
        <w:gridCol w:w="146"/>
        <w:gridCol w:w="216"/>
        <w:gridCol w:w="625"/>
        <w:gridCol w:w="256"/>
        <w:gridCol w:w="391"/>
      </w:tblGrid>
      <w:tr>
        <w:trPr/>
        <w:tc>
          <w:tcPr>
            <w:tcW w:w="1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9"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4"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3"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w:t>
              <w:b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Rate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w:t>
              <w:b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Rate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9"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(Dollars in thousands)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Deposit type: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NOW/IOLA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Money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988,744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Savings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731,371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Interest-bearing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1,917,325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1,818,319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 bearing demand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232,834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2,150,159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2,018,326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time deposits with balances exceeding the $250,000 Federal Deposits Insurance Corporation ("FDIC") insurance limit by maturity at June 30, 2026.</w:t>
      </w:r>
    </w:p>
    <w:p>
      <w:pPr>
        <w:pStyle w:val="TextBody"/>
        <w:bidi w:val="0"/>
        <w:spacing w:before="200" w:after="283"/>
        <w:jc w:val="both"/>
        <w:rPr/>
      </w:pPr>
      <w:r>
        <w:rPr/>
        <w:t> </w:t>
      </w:r>
    </w:p>
    <w:tbl>
      <w:tblPr>
        <w:tblW w:w="4886" w:type="dxa"/>
        <w:jc w:val="left"/>
        <w:tblInd w:w="0" w:type="dxa"/>
        <w:tblLayout w:type="fixed"/>
        <w:tblCellMar>
          <w:top w:w="28" w:type="dxa"/>
          <w:left w:w="28" w:type="dxa"/>
          <w:bottom w:w="28" w:type="dxa"/>
          <w:right w:w="28" w:type="dxa"/>
        </w:tblCellMar>
      </w:tblPr>
      <w:tblGrid>
        <w:gridCol w:w="3066"/>
        <w:gridCol w:w="233"/>
        <w:gridCol w:w="173"/>
        <w:gridCol w:w="823"/>
        <w:gridCol w:w="591"/>
      </w:tblGrid>
      <w:tr>
        <w:trPr/>
        <w:tc>
          <w:tcPr>
            <w:tcW w:w="30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Maturity Period:</w:t>
            </w:r>
          </w:p>
        </w:tc>
        <w:tc>
          <w:tcPr>
            <w:tcW w:w="122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Three months or less</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65,334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Over three months through six months</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57,191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Over six months through one year</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47,762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More than one year</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24,175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194,462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June 30, 2026, the portion of uninsured deposits in excess of $250,000 FDIC insurance limit was $459.4 million.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Borrowings</w:t>
      </w:r>
      <w:r>
        <w:rPr>
          <w:rFonts w:ascii="Times New Roman" w:hAnsi="Times New Roman"/>
          <w:color w:val="000000"/>
          <w:sz w:val="20"/>
        </w:rPr>
        <w:t xml:space="preserve">. The Bank had outstanding borrowings at June 30, 2026 and December 31, 2025 of $621.1 million and $596.1 million in term advances from the FHLBNY. The Bank had no overnight line of credit advance from the FHLBNY at June 30, 2026 and December 31, 2025. Additionally, the Bank had two unsecured lines of credit in the amount of $75.0 million with two correspondent banks for both periods at June 30, 2026 and December 31, 2025. The Bank did not have any term and overnight line of credit advances from the FRBNY at June 30, 2026 and December 31, 2025. </w:t>
      </w:r>
    </w:p>
    <w:p>
      <w:pPr>
        <w:pStyle w:val="TextBody"/>
        <w:bidi w:val="0"/>
        <w:spacing w:before="120" w:after="283"/>
        <w:jc w:val="both"/>
        <w:rPr>
          <w:rFonts w:ascii="Times New Roman" w:hAnsi="Times New Roman"/>
          <w:sz w:val="20"/>
        </w:rPr>
      </w:pPr>
      <w:r>
        <w:rPr>
          <w:rFonts w:ascii="Times New Roman" w:hAnsi="Times New Roman"/>
          <w:b/>
          <w:i/>
          <w:color w:val="000000"/>
          <w:sz w:val="20"/>
        </w:rPr>
        <w:t>Stockholders’ Equity</w:t>
      </w:r>
      <w:r>
        <w:rPr>
          <w:rFonts w:ascii="Times New Roman" w:hAnsi="Times New Roman"/>
          <w:color w:val="000000"/>
          <w:sz w:val="20"/>
        </w:rPr>
        <w:t xml:space="preserve">. The Company’s consolidated stockholders’ equity increased $19.4 million, or 3.6%, to $561.0 million as of June 30, 2026 from $541.5 million as of December 31, 2025. The $19.4 million increase in stockholders’ equity was largely attributable to $17.1 million in net income, $1.3 million impact to additional paid in capital as a result of share-based compensation, $1.2 million from release of ESOP shares, $0.2 million from exercise of stock options and $0.1 million in other comprehensive income, offset by $0.6 million related to the dividend paid on preferred shares during the six months ended June 30, 2026. </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Comparison of Results of Operations for the Three Months Ended June 30, 2026 and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discussion of the Company’s results of operations for the three months ended June 30, 2026 and 2025 are presented below. The results of operations for interim periods may not be indicative of future results.</w:t>
      </w:r>
    </w:p>
    <w:p>
      <w:pPr>
        <w:pStyle w:val="TextBody"/>
        <w:bidi w:val="0"/>
        <w:spacing w:before="200" w:after="283"/>
        <w:jc w:val="both"/>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Net income available to common stockholders was $8.2 million for the three months ended June 30, 2026 compared to net income available to common stockholders of $5.8 million for the three months ended June 30, 2025. Earnings per basic share was $0.36 and diluted share was $0.35 for the three months ended June 30, 2026 compared to earnings per basic share of $0.26 and diluted share of $0.25 for the three months ended June 30, 2025. The $2.4 million increase of net income available to common stockholders from the three months ended June 30, 2025, was due to increases of $5.6 million in net interest income, offset by increases of $1.3 million in non-interest expense, $0.9 million in provision for income taxes and $0.5 million in provision for credit losses and a decrease of $0.5 million in non-interest income. Net income for the three months ended June 30, 2026 and 2025, which excludes $0.3 million and $0.3 million, respectively, in dividends on preferred shares, were $8.5 million and $6.1 million, respectively.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results of operations for the periods indicated:</w:t>
      </w:r>
    </w:p>
    <w:p>
      <w:pPr>
        <w:pStyle w:val="TextBody"/>
        <w:bidi w:val="0"/>
        <w:jc w:val="both"/>
        <w:rPr/>
      </w:pPr>
      <w:r>
        <w:rPr/>
        <w:t> </w:t>
      </w:r>
    </w:p>
    <w:tbl>
      <w:tblPr>
        <w:tblW w:w="9144" w:type="dxa"/>
        <w:jc w:val="left"/>
        <w:tblInd w:w="0" w:type="dxa"/>
        <w:tblLayout w:type="fixed"/>
        <w:tblCellMar>
          <w:top w:w="28" w:type="dxa"/>
          <w:left w:w="28" w:type="dxa"/>
          <w:bottom w:w="28" w:type="dxa"/>
          <w:right w:w="28" w:type="dxa"/>
        </w:tblCellMar>
      </w:tblPr>
      <w:tblGrid>
        <w:gridCol w:w="4191"/>
        <w:gridCol w:w="146"/>
        <w:gridCol w:w="240"/>
        <w:gridCol w:w="736"/>
        <w:gridCol w:w="178"/>
        <w:gridCol w:w="178"/>
        <w:gridCol w:w="240"/>
        <w:gridCol w:w="736"/>
        <w:gridCol w:w="146"/>
        <w:gridCol w:w="146"/>
        <w:gridCol w:w="196"/>
        <w:gridCol w:w="511"/>
        <w:gridCol w:w="166"/>
        <w:gridCol w:w="146"/>
        <w:gridCol w:w="146"/>
        <w:gridCol w:w="481"/>
        <w:gridCol w:w="561"/>
      </w:tblGrid>
      <w:tr>
        <w:trPr/>
        <w:tc>
          <w:tcPr>
            <w:tcW w:w="4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8"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 Ended 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4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Increase (Decrease)</w:t>
            </w:r>
          </w:p>
        </w:tc>
        <w:tc>
          <w:tcPr>
            <w:tcW w:w="5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(Dollars in thousands)</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51,652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21,591</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30,061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2,148</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interest income after provision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27,913</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18,135</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11,305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2,810</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Dividends on preferred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income available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8,213</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0.36</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0.35</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Interest and Dividend Income.</w:t>
      </w:r>
      <w:r>
        <w:rPr>
          <w:rFonts w:ascii="Times New Roman" w:hAnsi="Times New Roman"/>
          <w:color w:val="000000"/>
          <w:sz w:val="20"/>
        </w:rPr>
        <w:t xml:space="preserve"> Interest and dividend income increased $5.8 million, or 12.6%, to $51.7 million for the three months ended June 30, 2026 from $45.9 million for the three months ended June 30, 2025. Interest income on loans receivable, which is the Company’s primary source of income, increased $6.5 million, or 16.2%, to $46.8 million for the three months ended June 30, 2026 from $40.3 million for the three months ended June 30,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Total interest and dividend income on securities, FHLBNY stock and deposits due from banks decreased $0.8 million or 13.5%, to $4.8 million for the three months ended June 30, 2026 from $5.6 million for the three months ended June 30, 2025. The decrease was primarily attributable to a decrease of $1.1 million in interest on securities, offset by increases of $0.2 million in dividend on FHLBNY and FRBNY stocks and $0.1 million in interest on deposits due from banks.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interest income on loans receivable for the periods indicated:</w:t>
      </w:r>
    </w:p>
    <w:p>
      <w:pPr>
        <w:pStyle w:val="TextBody"/>
        <w:bidi w:val="0"/>
        <w:jc w:val="both"/>
        <w:rPr/>
      </w:pPr>
      <w:r>
        <w:rPr/>
        <w:t> </w:t>
      </w:r>
    </w:p>
    <w:p>
      <w:pPr>
        <w:pStyle w:val="TextBody"/>
        <w:bidi w:val="0"/>
        <w:jc w:val="both"/>
        <w:rPr/>
      </w:pPr>
      <w:r>
        <w:rPr/>
        <w:t> </w:t>
      </w:r>
    </w:p>
    <w:tbl>
      <w:tblPr>
        <w:tblW w:w="9294" w:type="dxa"/>
        <w:jc w:val="left"/>
        <w:tblInd w:w="0" w:type="dxa"/>
        <w:tblLayout w:type="fixed"/>
        <w:tblCellMar>
          <w:top w:w="28" w:type="dxa"/>
          <w:left w:w="28" w:type="dxa"/>
          <w:bottom w:w="28" w:type="dxa"/>
          <w:right w:w="28" w:type="dxa"/>
        </w:tblCellMar>
      </w:tblPr>
      <w:tblGrid>
        <w:gridCol w:w="3666"/>
        <w:gridCol w:w="146"/>
        <w:gridCol w:w="291"/>
        <w:gridCol w:w="932"/>
        <w:gridCol w:w="201"/>
        <w:gridCol w:w="201"/>
        <w:gridCol w:w="291"/>
        <w:gridCol w:w="932"/>
        <w:gridCol w:w="146"/>
        <w:gridCol w:w="146"/>
        <w:gridCol w:w="211"/>
        <w:gridCol w:w="571"/>
        <w:gridCol w:w="166"/>
        <w:gridCol w:w="146"/>
        <w:gridCol w:w="146"/>
        <w:gridCol w:w="526"/>
        <w:gridCol w:w="576"/>
      </w:tblGrid>
      <w:tr>
        <w:trPr/>
        <w:tc>
          <w:tcPr>
            <w:tcW w:w="3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0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 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6,808</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Multifamily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13,842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Nonresidential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9,258</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and 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14,903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2,012</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interest income on loans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46,835</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40,291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presents interest and dividend income on securities and FHLBNY stock and deposits due from banks for the periods indicated: </w:t>
      </w:r>
    </w:p>
    <w:p>
      <w:pPr>
        <w:pStyle w:val="TextBody"/>
        <w:bidi w:val="0"/>
        <w:jc w:val="left"/>
        <w:rPr/>
      </w:pPr>
      <w:r>
        <w:rPr/>
        <w:t> </w:t>
      </w:r>
    </w:p>
    <w:p>
      <w:pPr>
        <w:pStyle w:val="TextBody"/>
        <w:bidi w:val="0"/>
        <w:jc w:val="both"/>
        <w:rPr/>
      </w:pPr>
      <w:r>
        <w:rPr/>
        <w:t> </w:t>
      </w:r>
    </w:p>
    <w:tbl>
      <w:tblPr>
        <w:tblW w:w="9171" w:type="dxa"/>
        <w:jc w:val="left"/>
        <w:tblInd w:w="0" w:type="dxa"/>
        <w:tblLayout w:type="fixed"/>
        <w:tblCellMar>
          <w:top w:w="28" w:type="dxa"/>
          <w:left w:w="28" w:type="dxa"/>
          <w:bottom w:w="28" w:type="dxa"/>
          <w:right w:w="28" w:type="dxa"/>
        </w:tblCellMar>
      </w:tblPr>
      <w:tblGrid>
        <w:gridCol w:w="3541"/>
        <w:gridCol w:w="146"/>
        <w:gridCol w:w="324"/>
        <w:gridCol w:w="877"/>
        <w:gridCol w:w="224"/>
        <w:gridCol w:w="224"/>
        <w:gridCol w:w="324"/>
        <w:gridCol w:w="877"/>
        <w:gridCol w:w="146"/>
        <w:gridCol w:w="146"/>
        <w:gridCol w:w="211"/>
        <w:gridCol w:w="631"/>
        <w:gridCol w:w="166"/>
        <w:gridCol w:w="146"/>
        <w:gridCol w:w="146"/>
        <w:gridCol w:w="526"/>
        <w:gridCol w:w="516"/>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on deposits due from banks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on FHLBNY and FRBNY stocks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interest and 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4,817</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Interest expense increased $0.2 million, or 0.7%, to $21.6 million for the three months ended June 30, 2026 from $21.4 million for the three months ended June 30,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interest expense for the periods indicated:</w:t>
      </w:r>
    </w:p>
    <w:p>
      <w:pPr>
        <w:pStyle w:val="TextBody"/>
        <w:bidi w:val="0"/>
        <w:spacing w:before="200" w:after="283"/>
        <w:jc w:val="both"/>
        <w:rPr/>
      </w:pPr>
      <w:r>
        <w:rPr/>
        <w:t> </w:t>
      </w:r>
    </w:p>
    <w:tbl>
      <w:tblPr>
        <w:tblW w:w="7573" w:type="dxa"/>
        <w:jc w:val="left"/>
        <w:tblInd w:w="0" w:type="dxa"/>
        <w:tblLayout w:type="fixed"/>
        <w:tblCellMar>
          <w:top w:w="28" w:type="dxa"/>
          <w:left w:w="28" w:type="dxa"/>
          <w:bottom w:w="28" w:type="dxa"/>
          <w:right w:w="28" w:type="dxa"/>
        </w:tblCellMar>
      </w:tblPr>
      <w:tblGrid>
        <w:gridCol w:w="2106"/>
        <w:gridCol w:w="146"/>
        <w:gridCol w:w="291"/>
        <w:gridCol w:w="932"/>
        <w:gridCol w:w="201"/>
        <w:gridCol w:w="201"/>
        <w:gridCol w:w="291"/>
        <w:gridCol w:w="932"/>
        <w:gridCol w:w="146"/>
        <w:gridCol w:w="146"/>
        <w:gridCol w:w="211"/>
        <w:gridCol w:w="481"/>
        <w:gridCol w:w="166"/>
        <w:gridCol w:w="146"/>
        <w:gridCol w:w="157"/>
        <w:gridCol w:w="504"/>
        <w:gridCol w:w="516"/>
      </w:tblGrid>
      <w:tr>
        <w:trPr/>
        <w:tc>
          <w:tcPr>
            <w:tcW w:w="2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0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Savings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NOW/IOLA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21,591</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sz w:val="20"/>
        </w:rPr>
      </w:pPr>
      <w:r>
        <w:rPr>
          <w:rFonts w:ascii="Times New Roman" w:hAnsi="Times New Roman"/>
          <w:b/>
          <w:i/>
          <w:color w:val="000000"/>
          <w:sz w:val="20"/>
        </w:rPr>
        <w:t>N</w:t>
      </w:r>
      <w:r>
        <w:rPr>
          <w:rFonts w:ascii="Times New Roman" w:hAnsi="Times New Roman"/>
          <w:b/>
          <w:i/>
          <w:color w:val="404040"/>
          <w:sz w:val="20"/>
        </w:rPr>
        <w:t>et Interest Income.</w:t>
      </w:r>
      <w:r>
        <w:rPr>
          <w:rFonts w:ascii="Times New Roman" w:hAnsi="Times New Roman"/>
          <w:color w:val="404040"/>
          <w:sz w:val="20"/>
        </w:rPr>
        <w:t xml:space="preserve"> Net interest income increased $5.6 million, or 23.1%, to $30.1 million for the three months ended June 30, 2026 from $24.4 million for the three months ended June 30, 2025. The $5.6 million increase in net interest income for the three months ended June 30, 2026 compared to the three months ended June 30, 2025 was attributable to an increase of $5.8 million in total interest and dividend income primarily due to increases in average loans receivable, offset by an increase of $0.2 million in interest expense.</w:t>
      </w:r>
    </w:p>
    <w:p>
      <w:pPr>
        <w:pStyle w:val="TextBody"/>
        <w:bidi w:val="0"/>
        <w:spacing w:before="200" w:after="283"/>
        <w:jc w:val="both"/>
        <w:rPr>
          <w:rFonts w:ascii="Times New Roman" w:hAnsi="Times New Roman"/>
          <w:sz w:val="20"/>
        </w:rPr>
      </w:pPr>
      <w:r>
        <w:rPr>
          <w:rFonts w:ascii="Times New Roman" w:hAnsi="Times New Roman"/>
          <w:color w:val="000000"/>
          <w:sz w:val="20"/>
        </w:rPr>
        <w:t>Net interest rate sprea</w:t>
      </w:r>
      <w:r>
        <w:rPr>
          <w:rFonts w:ascii="Times New Roman" w:hAnsi="Times New Roman"/>
          <w:color w:val="404040"/>
          <w:sz w:val="20"/>
        </w:rPr>
        <w:t>d increased by 42 basis p</w:t>
      </w:r>
      <w:r>
        <w:rPr>
          <w:rFonts w:ascii="Times New Roman" w:hAnsi="Times New Roman"/>
          <w:color w:val="000000"/>
          <w:sz w:val="20"/>
        </w:rPr>
        <w:t>oints to 2.89% for the three months ended June 30, 2026 from 2.47% for the three months ended June 30, 2025. The increase in the net interest rate spread for the three months ended June 30, 2026 compared to the three months ended June 30, 2025 was primarily due to an increase in the average yields on interest-earning assets of 16 basis points to 6.29% for the three months ended June 30, 2026 from 6.13% for the three months ended June 30, 2025, and a decrease in the average rates paid on interest-bearing liabilities of 26 basis points to 3.40% for the three months ended June 30, 2026 from 3.66% for the three months ended June 30, 2025.</w:t>
      </w:r>
    </w:p>
    <w:p>
      <w:pPr>
        <w:pStyle w:val="TextBody"/>
        <w:bidi w:val="0"/>
        <w:jc w:val="both"/>
        <w:rPr>
          <w:rFonts w:ascii="Times New Roman" w:hAnsi="Times New Roman"/>
          <w:color w:val="000000"/>
          <w:sz w:val="20"/>
        </w:rPr>
      </w:pPr>
      <w:r>
        <w:rPr>
          <w:rFonts w:ascii="Times New Roman" w:hAnsi="Times New Roman"/>
          <w:color w:val="000000"/>
          <w:sz w:val="20"/>
        </w:rPr>
        <w:t xml:space="preserve">Net interest margin increased 39 basis points for the three months ended June 30, 2026, to 3.66% from 3.27% for the three months ended June 30, 2025.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Non-Interest Income.</w:t>
      </w:r>
      <w:r>
        <w:rPr>
          <w:rFonts w:ascii="Times New Roman" w:hAnsi="Times New Roman"/>
          <w:color w:val="000000"/>
          <w:sz w:val="20"/>
        </w:rPr>
        <w:t xml:space="preserve"> Non-interest income decreased $0.5 million, or 25.9%, to $1.5 million for the three months ended June 30, 2026 from $2.1 million for the three months ended June 30, 2025. The $0.5 million decrease in non-interest income for the three months ended June 30, 2026 compared to the three months ended June 30, 2025 was largely attributable to decreases of $0.4 million in late and prepayment charges and $0.4 million in grant income recognized in the second quarter of 2025, offset by an increase of $0.2 million in other non-interest income.</w:t>
      </w:r>
    </w:p>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non-interest income for the periods indicated:</w:t>
      </w:r>
    </w:p>
    <w:p>
      <w:pPr>
        <w:pStyle w:val="TextBody"/>
        <w:bidi w:val="0"/>
        <w:jc w:val="left"/>
        <w:rPr/>
      </w:pPr>
      <w:r>
        <w:rPr/>
        <w:t> </w:t>
      </w:r>
    </w:p>
    <w:tbl>
      <w:tblPr>
        <w:tblW w:w="8281" w:type="dxa"/>
        <w:jc w:val="left"/>
        <w:tblInd w:w="0" w:type="dxa"/>
        <w:tblLayout w:type="fixed"/>
        <w:tblCellMar>
          <w:top w:w="28" w:type="dxa"/>
          <w:left w:w="28" w:type="dxa"/>
          <w:bottom w:w="28" w:type="dxa"/>
          <w:right w:w="28" w:type="dxa"/>
        </w:tblCellMar>
      </w:tblPr>
      <w:tblGrid>
        <w:gridCol w:w="2836"/>
        <w:gridCol w:w="146"/>
        <w:gridCol w:w="324"/>
        <w:gridCol w:w="877"/>
        <w:gridCol w:w="224"/>
        <w:gridCol w:w="224"/>
        <w:gridCol w:w="324"/>
        <w:gridCol w:w="877"/>
        <w:gridCol w:w="146"/>
        <w:gridCol w:w="146"/>
        <w:gridCol w:w="211"/>
        <w:gridCol w:w="481"/>
        <w:gridCol w:w="166"/>
        <w:gridCol w:w="146"/>
        <w:gridCol w:w="146"/>
        <w:gridCol w:w="631"/>
        <w:gridCol w:w="37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charges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Late and prepayment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on sale of 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Non-Interest Expense.</w:t>
      </w:r>
      <w:r>
        <w:rPr>
          <w:rFonts w:ascii="Times New Roman" w:hAnsi="Times New Roman"/>
          <w:color w:val="000000"/>
          <w:sz w:val="20"/>
        </w:rPr>
        <w:t xml:space="preserve"> Non-interest expense increased $1.3 million, or 7.5%, to $18.1 million for the three months ended June 30, 2026 from $16.9 million for the three months ended June 30, 2025. The $1.3 million increase in non-interest expense was mainly attributable to an increase of $1.4 million in compensation and benefits, partially offset by a decrease of $0.1 million in federal deposit insurance and regulatory assessment.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non-interest expense for the periods indicated:</w:t>
      </w:r>
    </w:p>
    <w:p>
      <w:pPr>
        <w:pStyle w:val="TextBody"/>
        <w:bidi w:val="0"/>
        <w:jc w:val="left"/>
        <w:rPr/>
      </w:pPr>
      <w:r>
        <w:rPr/>
        <w:t> </w:t>
      </w:r>
    </w:p>
    <w:tbl>
      <w:tblPr>
        <w:tblW w:w="9779" w:type="dxa"/>
        <w:jc w:val="left"/>
        <w:tblInd w:w="0" w:type="dxa"/>
        <w:tblLayout w:type="fixed"/>
        <w:tblCellMar>
          <w:top w:w="28" w:type="dxa"/>
          <w:left w:w="28" w:type="dxa"/>
          <w:bottom w:w="28" w:type="dxa"/>
          <w:right w:w="28" w:type="dxa"/>
        </w:tblCellMar>
      </w:tblPr>
      <w:tblGrid>
        <w:gridCol w:w="4351"/>
        <w:gridCol w:w="146"/>
        <w:gridCol w:w="291"/>
        <w:gridCol w:w="932"/>
        <w:gridCol w:w="201"/>
        <w:gridCol w:w="201"/>
        <w:gridCol w:w="291"/>
        <w:gridCol w:w="932"/>
        <w:gridCol w:w="146"/>
        <w:gridCol w:w="146"/>
        <w:gridCol w:w="211"/>
        <w:gridCol w:w="571"/>
        <w:gridCol w:w="166"/>
        <w:gridCol w:w="146"/>
        <w:gridCol w:w="146"/>
        <w:gridCol w:w="526"/>
        <w:gridCol w:w="376"/>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0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9,070</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 processing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loan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and surety bond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supplies, telephone and postage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and promotional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deposit insurance and regulatory assessment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non-interest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18,135</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Income Tax Provision.</w:t>
      </w:r>
      <w:r>
        <w:rPr>
          <w:rFonts w:ascii="Times New Roman" w:hAnsi="Times New Roman"/>
          <w:color w:val="000000"/>
          <w:sz w:val="20"/>
        </w:rPr>
        <w:t xml:space="preserve"> The Company had a provision for income taxes of $2.8 million for the three months ended June 30, 2026 compared to a provision for income taxes of $1.9 million for the three months ended June 30, 2025. </w:t>
      </w:r>
    </w:p>
    <w:p>
      <w:pPr>
        <w:pStyle w:val="TextBody"/>
        <w:bidi w:val="0"/>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Average Balance Sheets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average outstanding balances, average yields and rates, and certain other information for the periods indicated. No tax-equivalent yield adjustments have been made, as the effects would be immaterial. Average balances are derived from average daily balances. Non-accrual loans were included in the computation of average balances. The yields set forth below include the effect of deferred fees, discounts, and premiums that are amortized or accreted to interest income or interest expense. </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220"/>
        <w:gridCol w:w="146"/>
        <w:gridCol w:w="211"/>
        <w:gridCol w:w="931"/>
        <w:gridCol w:w="146"/>
        <w:gridCol w:w="146"/>
        <w:gridCol w:w="211"/>
        <w:gridCol w:w="676"/>
        <w:gridCol w:w="146"/>
        <w:gridCol w:w="146"/>
        <w:gridCol w:w="149"/>
        <w:gridCol w:w="690"/>
        <w:gridCol w:w="271"/>
        <w:gridCol w:w="146"/>
        <w:gridCol w:w="211"/>
        <w:gridCol w:w="931"/>
        <w:gridCol w:w="146"/>
        <w:gridCol w:w="146"/>
        <w:gridCol w:w="211"/>
        <w:gridCol w:w="676"/>
        <w:gridCol w:w="146"/>
        <w:gridCol w:w="146"/>
        <w:gridCol w:w="149"/>
        <w:gridCol w:w="690"/>
        <w:gridCol w:w="518"/>
      </w:tblGrid>
      <w:tr>
        <w:trPr/>
        <w:tc>
          <w:tcPr>
            <w:tcW w:w="22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Yield/Rate </w:t>
            </w:r>
            <w:r>
              <w:rPr>
                <w:rFonts w:ascii="Times New Roman" w:hAnsi="Times New Roman"/>
                <w:b/>
                <w:color w:val="000000"/>
                <w:sz w:val="11"/>
              </w:rPr>
              <w:t>(1)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Yield/Rate </w:t>
            </w:r>
            <w:r>
              <w:rPr>
                <w:rFonts w:ascii="Times New Roman" w:hAnsi="Times New Roman"/>
                <w:b/>
                <w:color w:val="000000"/>
                <w:sz w:val="11"/>
              </w:rPr>
              <w:t>(1)</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1"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Interest-earning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Loans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2,801,281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2,447,713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6.60</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Securities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345,599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449,858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3.79</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Other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146,919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102,252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5.19</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interest-earning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3,293,799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2,999,823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6.13</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Non-interest-earning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98,497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104,059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3,392,296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3,103,882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Interest-bearing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NOW/IOLA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0.59</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Money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1,028,044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864,688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4.14</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Savings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0.09</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744,298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772,363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3.83</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1,968,732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1,824,383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3.61</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575,496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521,375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3.84</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2,544,228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2,345,758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3.66</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Non-interest-bearing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Non-interest-bearing demand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244,483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203,349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non-interest-bearing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45,560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36,435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non-interest-bearing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290,043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239,784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2,834,271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2,585,542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558,025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518,340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liabilities and 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3,392,296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3,103,882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3.66</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24,426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Net interest rate spread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2.47</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Net interest-earning assets </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749,571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654,065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Net interest margin </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3.27</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Average interest-earning assets to 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127.88</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Annualized where appropriate.</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Loans include loans and mortgage loans held for sale, at fair value.</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(3)</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Securities include available-for-sale securities and held-to-maturity securities.</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(4)</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Includes FHLBNY demand account and FHLBNY stock dividends and FRBNY demand deposits.</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(5)</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For the three months ended June 30, 2025, Advance payments by borrowers for taxes and insurance in the amount of $14.9 million, were reclassified to Savings.</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(6)</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Net interest rate spread represents the difference between the weighted average yield on interest-earning assets and the weighted average rate of interest-bearing liabilities.</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(7)</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Net interest-earning assets represent total interest-earning assets less total interest-bearing liabilities.</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(8)</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Net interest margin represents net interest income divided by average total interest-earning assets.</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Rate/Volume Analysis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the effects of changing rates and volumes on the Company’s net interest income for the periods indicated. The volume column shows the effects attributable to changes in volume (changes in volume multiplied by prior rate). The rate column shows the effects attributable to changes in rate (changes in rate multiplied by prior volume). The total column represents the sum of the prior columns. For purposes of this table, changes attributable to both rate and volume, which cannot be segregated, have been allocated proportionately based on the changes due to rate and the changes due to volume.</w:t>
      </w:r>
    </w:p>
    <w:p>
      <w:pPr>
        <w:pStyle w:val="TextBody"/>
        <w:bidi w:val="0"/>
        <w:spacing w:before="120" w:after="283"/>
        <w:jc w:val="both"/>
        <w:rPr/>
      </w:pPr>
      <w:r>
        <w:rPr/>
        <w:t> </w:t>
      </w:r>
    </w:p>
    <w:tbl>
      <w:tblPr>
        <w:tblW w:w="6948" w:type="dxa"/>
        <w:jc w:val="left"/>
        <w:tblInd w:w="0" w:type="dxa"/>
        <w:tblLayout w:type="fixed"/>
        <w:tblCellMar>
          <w:top w:w="28" w:type="dxa"/>
          <w:left w:w="28" w:type="dxa"/>
          <w:bottom w:w="28" w:type="dxa"/>
          <w:right w:w="28" w:type="dxa"/>
        </w:tblCellMar>
      </w:tblPr>
      <w:tblGrid>
        <w:gridCol w:w="2901"/>
        <w:gridCol w:w="146"/>
        <w:gridCol w:w="222"/>
        <w:gridCol w:w="601"/>
        <w:gridCol w:w="175"/>
        <w:gridCol w:w="153"/>
        <w:gridCol w:w="222"/>
        <w:gridCol w:w="665"/>
        <w:gridCol w:w="166"/>
        <w:gridCol w:w="146"/>
        <w:gridCol w:w="285"/>
        <w:gridCol w:w="855"/>
        <w:gridCol w:w="411"/>
      </w:tblGrid>
      <w:tr>
        <w:trPr/>
        <w:tc>
          <w:tcPr>
            <w:tcW w:w="2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 Due to</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Increase</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Volume</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Interest-earning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Loans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5,820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6,544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Securities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(984</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578</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interest-earning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5,414</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5,792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Interest-bearing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NOW/IOLA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Money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1,687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Savings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(268</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1,430</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518</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1,948</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 in net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3,466</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5,635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Loans include loans and mortgage loans held for sale, at fair value.</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jc w:val="both"/>
        <w:rPr>
          <w:rFonts w:ascii="Times New Roman" w:hAnsi="Times New Roman"/>
          <w:color w:val="000000"/>
          <w:sz w:val="18"/>
        </w:rPr>
      </w:pPr>
      <w:r>
        <w:rPr>
          <w:rFonts w:ascii="Times New Roman" w:hAnsi="Times New Roman"/>
          <w:color w:val="000000"/>
          <w:sz w:val="18"/>
        </w:rPr>
        <w:t>Securities include available-for-sale securities and held-to-maturity securities.</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Comparison of Results of Operations for the Six Months Ended June 30, 2026 and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discussion of the Company’s results of operations for the six months ended June 30, 2026 and 2025 are presented below. The results of operations for interim periods may not be indicative of future results.</w:t>
      </w:r>
    </w:p>
    <w:p>
      <w:pPr>
        <w:pStyle w:val="TextBody"/>
        <w:bidi w:val="0"/>
        <w:spacing w:before="200" w:after="283"/>
        <w:jc w:val="both"/>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Net income available to common stockholders was $16.6 million for the six months ended June 30, 2026 compared to net income available to common stockholders of $11.5 million for the six months ended June 30, 2025. Earnings per basic share was $0.72 and diluted share was $0.71 for the six months ended June 30, 2026 compared to earnings per basic share of $0.51 and diluted share of $0.50 for the six months ended June 30, 2025. The $5.1 million increase of net income available to common stockholders from the six months ended June 30, 2025, was due to increases of $11.7 million in net interest income, offset by increases of $2.5 million in provision for credit losses, $1.6 million in provision for income taxes, $1.6 million in non-interest expense and a decrease of $0.9 million in non-interest income. Net income for the six months ended June 30, 2026 and 2025 which excludes $0.6 million and $0.6 million, respectively, in dividends on preferred shares, were $17.1 million and $12.1 million, respectively.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results of operations for the periods indicated:</w:t>
      </w:r>
    </w:p>
    <w:p>
      <w:pPr>
        <w:pStyle w:val="TextBody"/>
        <w:bidi w:val="0"/>
        <w:jc w:val="both"/>
        <w:rPr/>
      </w:pPr>
      <w:r>
        <w:rPr/>
        <w:t> </w:t>
      </w:r>
    </w:p>
    <w:tbl>
      <w:tblPr>
        <w:tblW w:w="10204" w:type="dxa"/>
        <w:jc w:val="left"/>
        <w:tblInd w:w="0" w:type="dxa"/>
        <w:tblLayout w:type="fixed"/>
        <w:tblCellMar>
          <w:top w:w="28" w:type="dxa"/>
          <w:left w:w="28" w:type="dxa"/>
          <w:bottom w:w="28" w:type="dxa"/>
          <w:right w:w="28" w:type="dxa"/>
        </w:tblCellMar>
      </w:tblPr>
      <w:tblGrid>
        <w:gridCol w:w="5081"/>
        <w:gridCol w:w="146"/>
        <w:gridCol w:w="214"/>
        <w:gridCol w:w="755"/>
        <w:gridCol w:w="159"/>
        <w:gridCol w:w="159"/>
        <w:gridCol w:w="214"/>
        <w:gridCol w:w="657"/>
        <w:gridCol w:w="146"/>
        <w:gridCol w:w="146"/>
        <w:gridCol w:w="196"/>
        <w:gridCol w:w="601"/>
        <w:gridCol w:w="166"/>
        <w:gridCol w:w="146"/>
        <w:gridCol w:w="146"/>
        <w:gridCol w:w="511"/>
        <w:gridCol w:w="761"/>
      </w:tblGrid>
      <w:tr>
        <w:trPr/>
        <w:tc>
          <w:tcPr>
            <w:tcW w:w="5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8"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Six Months Ended 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76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Increase (Decrease)</w:t>
            </w:r>
          </w:p>
        </w:tc>
        <w:tc>
          <w:tcPr>
            <w:tcW w:w="7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(Dollars in thousands)</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100,314</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42,027</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58,287</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Provision (benefit) for credit losses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3,804</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183.7</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interest income after provision (benefit)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54,483</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Non-interest expense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35,375</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22,677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5,559</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17,118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Dividends on preferred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income available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16,555</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0.72</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0.71</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Interest and Dividend Income.</w:t>
      </w:r>
      <w:r>
        <w:rPr>
          <w:rFonts w:ascii="Times New Roman" w:hAnsi="Times New Roman"/>
          <w:color w:val="000000"/>
          <w:sz w:val="20"/>
        </w:rPr>
        <w:t xml:space="preserve"> Interest and dividend income increased $10.5 million, or 11.6%, to $100.3 million for the six months ended June 30, 2026 from $89.9 million for the six months ended June 30, 2025. Interest income on loans receivable, which is the Company’s primary source of income, increased $13.4 million, or 17.3%, to $90.8 million for the six months ended June 30, 2026 from $77.4 million for the six months ended June 30,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Total interest and dividend income on securities, FHLBNY stock and deposits due from banks decreased $2.9 million, or 23.6%, to $9.5 million for the six months ended June 30, 2026 from $12.4 million for the six months ended June 30, 2025. The decrease was primarily attributable to decreases of $2.4 million in interest on securities and $0.8 million in interest on deposits due from banks, offset by an increase of $0.2 million in dividend on FHLBNY and FRBNY stocks.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interest income on loans receivable for the periods indicated:</w:t>
      </w:r>
    </w:p>
    <w:p>
      <w:pPr>
        <w:pStyle w:val="TextBody"/>
        <w:bidi w:val="0"/>
        <w:jc w:val="both"/>
        <w:rPr/>
      </w:pPr>
      <w:r>
        <w:rPr/>
        <w:t> </w:t>
      </w:r>
    </w:p>
    <w:tbl>
      <w:tblPr>
        <w:tblW w:w="9205" w:type="dxa"/>
        <w:jc w:val="left"/>
        <w:tblInd w:w="0" w:type="dxa"/>
        <w:tblLayout w:type="fixed"/>
        <w:tblCellMar>
          <w:top w:w="28" w:type="dxa"/>
          <w:left w:w="28" w:type="dxa"/>
          <w:bottom w:w="28" w:type="dxa"/>
          <w:right w:w="28" w:type="dxa"/>
        </w:tblCellMar>
      </w:tblPr>
      <w:tblGrid>
        <w:gridCol w:w="3666"/>
        <w:gridCol w:w="146"/>
        <w:gridCol w:w="271"/>
        <w:gridCol w:w="869"/>
        <w:gridCol w:w="187"/>
        <w:gridCol w:w="187"/>
        <w:gridCol w:w="271"/>
        <w:gridCol w:w="869"/>
        <w:gridCol w:w="146"/>
        <w:gridCol w:w="146"/>
        <w:gridCol w:w="211"/>
        <w:gridCol w:w="676"/>
        <w:gridCol w:w="166"/>
        <w:gridCol w:w="146"/>
        <w:gridCol w:w="146"/>
        <w:gridCol w:w="526"/>
        <w:gridCol w:w="576"/>
      </w:tblGrid>
      <w:tr>
        <w:trPr/>
        <w:tc>
          <w:tcPr>
            <w:tcW w:w="3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 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13,272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Multifamily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25,188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Nonresidential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18,068</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and 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30,302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3,962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interest income on loans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90,817</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77,427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presents interest and dividend income on securities and FHLBNY stock and deposits due from banks for the periods indicated: </w:t>
      </w:r>
    </w:p>
    <w:p>
      <w:pPr>
        <w:pStyle w:val="TextBody"/>
        <w:bidi w:val="0"/>
        <w:jc w:val="left"/>
        <w:rPr/>
      </w:pPr>
      <w:r>
        <w:rPr/>
        <w:t> </w:t>
      </w:r>
    </w:p>
    <w:tbl>
      <w:tblPr>
        <w:tblW w:w="8973" w:type="dxa"/>
        <w:jc w:val="left"/>
        <w:tblInd w:w="0" w:type="dxa"/>
        <w:tblLayout w:type="fixed"/>
        <w:tblCellMar>
          <w:top w:w="28" w:type="dxa"/>
          <w:left w:w="28" w:type="dxa"/>
          <w:bottom w:w="28" w:type="dxa"/>
          <w:right w:w="28" w:type="dxa"/>
        </w:tblCellMar>
      </w:tblPr>
      <w:tblGrid>
        <w:gridCol w:w="3541"/>
        <w:gridCol w:w="146"/>
        <w:gridCol w:w="285"/>
        <w:gridCol w:w="773"/>
        <w:gridCol w:w="197"/>
        <w:gridCol w:w="197"/>
        <w:gridCol w:w="285"/>
        <w:gridCol w:w="915"/>
        <w:gridCol w:w="146"/>
        <w:gridCol w:w="146"/>
        <w:gridCol w:w="211"/>
        <w:gridCol w:w="631"/>
        <w:gridCol w:w="166"/>
        <w:gridCol w:w="146"/>
        <w:gridCol w:w="146"/>
        <w:gridCol w:w="526"/>
        <w:gridCol w:w="516"/>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on deposits due from banks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on FHLBNY and FRBNY stocks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interest and 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9,497</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12,430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Interest expense decreased $1.2 million, or 2.8%, to $42.0 million for the six months ended June 30, 2026 from $43.2 million for the six months ended June 30,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interest expense for the periods indicated:</w:t>
      </w:r>
    </w:p>
    <w:p>
      <w:pPr>
        <w:pStyle w:val="TextBody"/>
        <w:bidi w:val="0"/>
        <w:spacing w:before="200" w:after="283"/>
        <w:jc w:val="both"/>
        <w:rPr/>
      </w:pPr>
      <w:r>
        <w:rPr/>
        <w:t> </w:t>
      </w:r>
    </w:p>
    <w:tbl>
      <w:tblPr>
        <w:tblW w:w="7540" w:type="dxa"/>
        <w:jc w:val="left"/>
        <w:tblInd w:w="0" w:type="dxa"/>
        <w:tblLayout w:type="fixed"/>
        <w:tblCellMar>
          <w:top w:w="28" w:type="dxa"/>
          <w:left w:w="28" w:type="dxa"/>
          <w:bottom w:w="28" w:type="dxa"/>
          <w:right w:w="28" w:type="dxa"/>
        </w:tblCellMar>
      </w:tblPr>
      <w:tblGrid>
        <w:gridCol w:w="2106"/>
        <w:gridCol w:w="146"/>
        <w:gridCol w:w="271"/>
        <w:gridCol w:w="869"/>
        <w:gridCol w:w="187"/>
        <w:gridCol w:w="187"/>
        <w:gridCol w:w="271"/>
        <w:gridCol w:w="869"/>
        <w:gridCol w:w="146"/>
        <w:gridCol w:w="146"/>
        <w:gridCol w:w="211"/>
        <w:gridCol w:w="631"/>
        <w:gridCol w:w="166"/>
        <w:gridCol w:w="146"/>
        <w:gridCol w:w="146"/>
        <w:gridCol w:w="526"/>
        <w:gridCol w:w="516"/>
      </w:tblGrid>
      <w:tr>
        <w:trPr/>
        <w:tc>
          <w:tcPr>
            <w:tcW w:w="2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Savings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NOW/IOLA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10,653</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42,027</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sz w:val="20"/>
        </w:rPr>
      </w:pPr>
      <w:r>
        <w:rPr>
          <w:rFonts w:ascii="Times New Roman" w:hAnsi="Times New Roman"/>
          <w:b/>
          <w:i/>
          <w:color w:val="000000"/>
          <w:sz w:val="20"/>
        </w:rPr>
        <w:t>Net Interest Income.</w:t>
      </w:r>
      <w:r>
        <w:rPr>
          <w:rFonts w:ascii="Times New Roman" w:hAnsi="Times New Roman"/>
          <w:color w:val="000000"/>
          <w:sz w:val="20"/>
        </w:rPr>
        <w:t xml:space="preserve"> Net interest income increased $11.7 million, or 25.0%, to $58.3 million for the six months ended June 30, 2026 from $46.6 million for the six months ended June 30, 2025. The $11.7 million increase in net interest income for the six months ended June 30, 2026 compared to the six months ended June 30, 2025 was attributable to an increase of $10.5 million in total interest and dividend income primarily due to increases in average loans receivable and a decrease of $1.2 million in interest expense due primarily to a lower average cost of funds on interest bearing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interest rate spread increased by 54 basis points to 2.87% for the six months ended June 30, 2026 from 2.33% for the six months ended June 30, 2025. The increase in the net interest rate spread for the six months ended June 30, 2026 compared to the six months ended June 30, 2025 was primarily due to an increase in the average yields on interest-earning assets of 24 basis points to 6.26% for the six months ended June 30, 2026 from 6.02% for the six months ended June 30, 2025, and a decrease in the average rates paid on interest-bearing liabilities of 30 basis points to 3.39% for the six months ended June 30, 2026 from 3.69% for the six months ended June 30, 2025.</w:t>
      </w:r>
    </w:p>
    <w:p>
      <w:pPr>
        <w:pStyle w:val="TextBody"/>
        <w:bidi w:val="0"/>
        <w:jc w:val="both"/>
        <w:rPr>
          <w:rFonts w:ascii="Times New Roman" w:hAnsi="Times New Roman"/>
          <w:color w:val="000000"/>
          <w:sz w:val="20"/>
        </w:rPr>
      </w:pPr>
      <w:r>
        <w:rPr>
          <w:rFonts w:ascii="Times New Roman" w:hAnsi="Times New Roman"/>
          <w:color w:val="000000"/>
          <w:sz w:val="20"/>
        </w:rPr>
        <w:t xml:space="preserve">Net interest margin increased 52 basis points for the six months ended June 30, 2026, to 3.64% from 3.12% for the six months ended June 30, 2025.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Non-Interest Income.</w:t>
      </w:r>
      <w:r>
        <w:rPr>
          <w:rFonts w:ascii="Times New Roman" w:hAnsi="Times New Roman"/>
          <w:color w:val="000000"/>
          <w:sz w:val="20"/>
        </w:rPr>
        <w:t xml:space="preserve"> Non-interest income decreased $0.9 million, or 19.6%, to $3.6 million for the six months ended June 30, 2026 from $4.4 million for the six months ended June 30, 2025. The $0.9 million decrease in non-interest income for the six months ended June 30, 2026 compared to the six months ended June 30, 2025 was largely attributable to decreases of $0.4 million in late and prepayment charges, $0.4 million in income on sale of SBA loans and $0.4 million in grant income recognized in the second quarter of 2025, partially offset by increases of $0.3 million in other non-interest income and $0.1 million in service charges and fees.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non-interest income for the periods indicated:</w:t>
      </w:r>
    </w:p>
    <w:p>
      <w:pPr>
        <w:pStyle w:val="TextBody"/>
        <w:bidi w:val="0"/>
        <w:jc w:val="left"/>
        <w:rPr/>
      </w:pPr>
      <w:r>
        <w:rPr/>
        <w:t> </w:t>
      </w:r>
    </w:p>
    <w:tbl>
      <w:tblPr>
        <w:tblW w:w="8083" w:type="dxa"/>
        <w:jc w:val="left"/>
        <w:tblInd w:w="0" w:type="dxa"/>
        <w:tblLayout w:type="fixed"/>
        <w:tblCellMar>
          <w:top w:w="28" w:type="dxa"/>
          <w:left w:w="28" w:type="dxa"/>
          <w:bottom w:w="28" w:type="dxa"/>
          <w:right w:w="28" w:type="dxa"/>
        </w:tblCellMar>
      </w:tblPr>
      <w:tblGrid>
        <w:gridCol w:w="2836"/>
        <w:gridCol w:w="146"/>
        <w:gridCol w:w="301"/>
        <w:gridCol w:w="817"/>
        <w:gridCol w:w="208"/>
        <w:gridCol w:w="208"/>
        <w:gridCol w:w="301"/>
        <w:gridCol w:w="817"/>
        <w:gridCol w:w="146"/>
        <w:gridCol w:w="146"/>
        <w:gridCol w:w="211"/>
        <w:gridCol w:w="481"/>
        <w:gridCol w:w="166"/>
        <w:gridCol w:w="146"/>
        <w:gridCol w:w="146"/>
        <w:gridCol w:w="631"/>
        <w:gridCol w:w="37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2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charges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Brokerage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Late and prepayment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on sale of 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on sale of SBA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Non-Interest Expense.</w:t>
      </w:r>
      <w:r>
        <w:rPr>
          <w:rFonts w:ascii="Times New Roman" w:hAnsi="Times New Roman"/>
          <w:color w:val="000000"/>
          <w:sz w:val="20"/>
        </w:rPr>
        <w:t xml:space="preserve"> Non-interest expense increased $1.6 million, or 4.8%, to $35.4 million for the six months ended June 30, 2026 from $33.8 million for the six months ended June 30, 2025. The $1.6 million increase in non-interest expense was mainly attributable to an increase of $2.3 million in compensation and benefit, primarily due to new hires, partially offset by decreases of $0.3 million in direct loan expenses, $0.2 million in occupancy and equipment, $0.2 million in other non-interest expenses and $0.2 million in federal deposit insurance and regulatory assessment.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non-interest expense for the periods indicated:</w:t>
      </w:r>
    </w:p>
    <w:p>
      <w:pPr>
        <w:pStyle w:val="TextBody"/>
        <w:bidi w:val="0"/>
        <w:jc w:val="left"/>
        <w:rPr/>
      </w:pPr>
      <w:r>
        <w:rPr/>
        <w:t> </w:t>
      </w:r>
    </w:p>
    <w:p>
      <w:pPr>
        <w:pStyle w:val="TextBody"/>
        <w:bidi w:val="0"/>
        <w:jc w:val="both"/>
        <w:rPr/>
      </w:pPr>
      <w:r>
        <w:rPr/>
        <w:t> </w:t>
      </w:r>
    </w:p>
    <w:tbl>
      <w:tblPr>
        <w:tblW w:w="9585" w:type="dxa"/>
        <w:jc w:val="left"/>
        <w:tblInd w:w="0" w:type="dxa"/>
        <w:tblLayout w:type="fixed"/>
        <w:tblCellMar>
          <w:top w:w="28" w:type="dxa"/>
          <w:left w:w="28" w:type="dxa"/>
          <w:bottom w:w="28" w:type="dxa"/>
          <w:right w:w="28" w:type="dxa"/>
        </w:tblCellMar>
      </w:tblPr>
      <w:tblGrid>
        <w:gridCol w:w="4351"/>
        <w:gridCol w:w="146"/>
        <w:gridCol w:w="271"/>
        <w:gridCol w:w="869"/>
        <w:gridCol w:w="187"/>
        <w:gridCol w:w="187"/>
        <w:gridCol w:w="271"/>
        <w:gridCol w:w="869"/>
        <w:gridCol w:w="146"/>
        <w:gridCol w:w="146"/>
        <w:gridCol w:w="211"/>
        <w:gridCol w:w="571"/>
        <w:gridCol w:w="166"/>
        <w:gridCol w:w="146"/>
        <w:gridCol w:w="146"/>
        <w:gridCol w:w="526"/>
        <w:gridCol w:w="376"/>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17,733</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 processing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loan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and surety bond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supplies, telephone and postage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and promotional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deposit insurance and regulatory assessment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non-interest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35,375</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Income Tax Provision.</w:t>
      </w:r>
      <w:r>
        <w:rPr>
          <w:rFonts w:ascii="Times New Roman" w:hAnsi="Times New Roman"/>
          <w:color w:val="000000"/>
          <w:sz w:val="20"/>
        </w:rPr>
        <w:t xml:space="preserve"> The Company had a provision for income taxes of $5.6 million for the six months ended June 30, 2026 compared to a provision for income taxes of $3.9 million for the six months ended June 30, 2025. </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FF0000"/>
          <w:sz w:val="20"/>
        </w:rPr>
      </w:pPr>
      <w:r>
        <w:rPr>
          <w:rFonts w:ascii="Times New Roman" w:hAnsi="Times New Roman"/>
          <w:color w:val="FF0000"/>
          <w:sz w:val="20"/>
        </w:rPr>
        <w:t>.</w:t>
      </w:r>
    </w:p>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Average Balance Sheets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average outstanding balances, average yields and rates, and certain other information for the periods indicated. No tax-equivalent yield adjustments have been made, as the effects would be immaterial. Average balances are derived from average daily balances. Non-accrual loans were included in the computation of average balances. The yields set forth below include the effect of deferred fees, discounts, and premiums that are amortized or accreted to interest income or interest expense. </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128"/>
        <w:gridCol w:w="146"/>
        <w:gridCol w:w="211"/>
        <w:gridCol w:w="931"/>
        <w:gridCol w:w="146"/>
        <w:gridCol w:w="146"/>
        <w:gridCol w:w="211"/>
        <w:gridCol w:w="781"/>
        <w:gridCol w:w="146"/>
        <w:gridCol w:w="146"/>
        <w:gridCol w:w="147"/>
        <w:gridCol w:w="685"/>
        <w:gridCol w:w="271"/>
        <w:gridCol w:w="146"/>
        <w:gridCol w:w="211"/>
        <w:gridCol w:w="931"/>
        <w:gridCol w:w="146"/>
        <w:gridCol w:w="146"/>
        <w:gridCol w:w="211"/>
        <w:gridCol w:w="676"/>
        <w:gridCol w:w="146"/>
        <w:gridCol w:w="146"/>
        <w:gridCol w:w="147"/>
        <w:gridCol w:w="685"/>
        <w:gridCol w:w="519"/>
      </w:tblGrid>
      <w:tr>
        <w:trPr/>
        <w:tc>
          <w:tcPr>
            <w:tcW w:w="2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21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1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Yield/Rate </w:t>
            </w:r>
            <w:r>
              <w:rPr>
                <w:rFonts w:ascii="Times New Roman" w:hAnsi="Times New Roman"/>
                <w:b/>
                <w:color w:val="000000"/>
                <w:sz w:val="11"/>
              </w:rPr>
              <w:t>(1)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Yield/Rate </w:t>
            </w:r>
            <w:r>
              <w:rPr>
                <w:rFonts w:ascii="Times New Roman" w:hAnsi="Times New Roman"/>
                <w:b/>
                <w:color w:val="000000"/>
                <w:sz w:val="11"/>
              </w:rPr>
              <w:t>(1)</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1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Interest-earning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Loans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2,740,985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2,408,788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6.48</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Securities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352,985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458,660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3.85</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Other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138,299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143,905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5.13</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1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interest-earning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3,232,269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3,011,353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6.02</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Non-interest-earning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95,873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106,600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3,328,142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3,117,953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Interest-bearing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NOW/IOLA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0.62</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Money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988,744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846,420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4.13</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Savings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0.10</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731,371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783,256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3.90</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1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1,917,325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1,818,319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3.63</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579,774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10,653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544,857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10,480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3.88</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1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2,497,099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2,363,176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3.69</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Non-interest-bearing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Non-interest-bearing demand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232,834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non-interest-bearing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44,804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40,155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non-interest-bearing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277,638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240,162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2,774,737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2,603,338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553,405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514,615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liabilities and 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3,328,142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3,117,953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3.69</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58,287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46,629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Net interest rate spread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2.33</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Net interest-earning assets </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735,170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648,177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Net interest margin </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3.12</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Average interest-earning assets to 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127.43</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Annualized where appropriate.</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Loans include loans and mortgage loans held for sale, at fair value.</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(3)</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Securities include available-for-sale securities and held-to-maturity securities.</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(4)</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Includes FHLBNY demand account and FHLBNY stock dividends and FRBNY demand deposits.</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(5)</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For the six months ended June 30, 2025, Advance payments by borrowers for taxes and insurance in the amount of $13.7 million, were reclassified to Savings.</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(6)</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Net interest rate spread represents the difference between the weighted average yield on interest-earning assets and the weighted average rate of interest-bearing liabilities.</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(7)</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Net interest-earning assets represent total interest-earning assets less total interest-bearing liabilities.</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(8)</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Net interest margin represents net interest income divided by average total interest-earning assets.</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Rate/Volume Analysis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the effects of changing rates and volumes on the Company’s net interest income for the periods indicated. The volume column shows the effects attributable to changes in volume (changes in volume multiplied by prior rate). The rate column shows the effects attributable to changes in rate (changes in rate multiplied by prior volume). The total column represents the sum of the prior columns. For purposes of this table, changes attributable to both rate and volume, which cannot be segregated, have been allocated proportionately based on the changes due to rate and the changes due to volume.</w:t>
      </w:r>
    </w:p>
    <w:p>
      <w:pPr>
        <w:pStyle w:val="TextBody"/>
        <w:bidi w:val="0"/>
        <w:spacing w:before="120" w:after="283"/>
        <w:jc w:val="both"/>
        <w:rPr/>
      </w:pPr>
      <w:r>
        <w:rPr/>
        <w:t> </w:t>
      </w:r>
    </w:p>
    <w:tbl>
      <w:tblPr>
        <w:tblW w:w="6951" w:type="dxa"/>
        <w:jc w:val="left"/>
        <w:tblInd w:w="0" w:type="dxa"/>
        <w:tblLayout w:type="fixed"/>
        <w:tblCellMar>
          <w:top w:w="28" w:type="dxa"/>
          <w:left w:w="28" w:type="dxa"/>
          <w:bottom w:w="28" w:type="dxa"/>
          <w:right w:w="28" w:type="dxa"/>
        </w:tblCellMar>
      </w:tblPr>
      <w:tblGrid>
        <w:gridCol w:w="2901"/>
        <w:gridCol w:w="146"/>
        <w:gridCol w:w="211"/>
        <w:gridCol w:w="676"/>
        <w:gridCol w:w="166"/>
        <w:gridCol w:w="146"/>
        <w:gridCol w:w="211"/>
        <w:gridCol w:w="631"/>
        <w:gridCol w:w="166"/>
        <w:gridCol w:w="146"/>
        <w:gridCol w:w="271"/>
        <w:gridCol w:w="869"/>
        <w:gridCol w:w="411"/>
      </w:tblGrid>
      <w:tr>
        <w:trPr/>
        <w:tc>
          <w:tcPr>
            <w:tcW w:w="2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3"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 Due to</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Increase</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Volume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3"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Interest-earning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Loans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13,390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Securities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(2,360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interest-earning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10,457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Interest-bearing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NOW/IOLA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Money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Savings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(1,936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 in net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11,658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Loans include loans and mortgage loans held for sale, at fair value.</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jc w:val="both"/>
        <w:rPr>
          <w:rFonts w:ascii="Times New Roman" w:hAnsi="Times New Roman"/>
          <w:color w:val="000000"/>
          <w:sz w:val="18"/>
        </w:rPr>
      </w:pPr>
      <w:r>
        <w:rPr>
          <w:rFonts w:ascii="Times New Roman" w:hAnsi="Times New Roman"/>
          <w:color w:val="000000"/>
          <w:sz w:val="18"/>
        </w:rPr>
        <w:t>Securities include available-for-sale securities and held-to-maturity securities.</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Credit Quality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non-performing assets and accruing modifications to borrowers experiencing financial difficulty were $26.8 million at June 30, 2026 compared to $30.2 million at December 31, 2025 and $28.5 million at June 30,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June 30, 2026, a credit loss provision of $2.1 million on loans was recorded, consisting of $1.7 million charged on the funded portion and $0.4 million charged on the unfunded portion on loans. During the three months ended June 30, 2025, a credit loss provision of $1.6 million on loans was recorded, consisting of $1.3 million charged on the funded portion on loans and $0.3 million charged on the unfunded portion on loans.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six months ended June 30, 2026, a credit loss provision of $3.8 million on loans was recorded, consisting of $3.0 million charged on the funded portion and $0.8 million charged on the unfunded portion on loans. During the six months ended June 30, 2025, a credit loss provision of $1.3 million on loans was recorded, consisting of $2.0 million charged on the funded portion on loans and $0.7 million benefit on the unfunded portion on loans.</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Management of Market Risk</w:t>
      </w:r>
    </w:p>
    <w:p>
      <w:pPr>
        <w:pStyle w:val="TextBody"/>
        <w:bidi w:val="0"/>
        <w:spacing w:before="120" w:after="283"/>
        <w:jc w:val="both"/>
        <w:rPr>
          <w:rFonts w:ascii="Times New Roman" w:hAnsi="Times New Roman"/>
          <w:sz w:val="20"/>
        </w:rPr>
      </w:pPr>
      <w:r>
        <w:rPr>
          <w:rFonts w:ascii="Times New Roman" w:hAnsi="Times New Roman"/>
          <w:b/>
          <w:i/>
          <w:color w:val="000000"/>
          <w:sz w:val="20"/>
        </w:rPr>
        <w:t>General</w:t>
      </w:r>
      <w:r>
        <w:rPr>
          <w:rFonts w:ascii="Times New Roman" w:hAnsi="Times New Roman"/>
          <w:color w:val="000000"/>
          <w:sz w:val="20"/>
        </w:rPr>
        <w:t>. The most significant form of market risk is interest rate risk because, as a financial institution, the majority of the Bank’s assets and liabilities are sensitive to changes in interest rates. Therefore, a principal part of our operations is to manage interest rate risk and limit the exposure of its financial condition and results of operations to changes in market interest rates. The Bank’s Asset/Liability Committee ("ALCO") is responsible for evaluating the interest rate risk inherent in the Bank’s assets and liabilities, for determining the level of risk that is appropriate, given the business strategy, operating environment, capital, liquidity and performance objectives, and for managing this risk consistent with policies and guidelines approved by the Board of Directors. The Bank currently utilizes a third-party modeling solution that is prepared on a quarterly basis, to evaluate its sensitivity to changing interest rates, given the Bank’s business strategy, operating environment, capital, liquidity and performance objectives, and for managing this risk consistent with the guidelines approved by the Board of Directors.</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Net Interest Income Simulation Models</w:t>
      </w:r>
      <w:r>
        <w:rPr>
          <w:rFonts w:ascii="Times New Roman" w:hAnsi="Times New Roman"/>
          <w:color w:val="000000"/>
          <w:sz w:val="20"/>
        </w:rPr>
        <w:t xml:space="preserve">. Management utilizes a respected, sophisticated third party designed asset liability modeling software that measures the Bank’s earnings through simulation modeling. Earning assets, interest-bearing liabilities and off-balance sheet financial instruments are combined with forecasts of interest rates for the next 12 months and are combined with other factors in order to produce various earnings simulations over that same 12-month period. To limit interest rate risk, the Bank has policy guidelines for earnings risk which seek to limit the variance of net interest income under instantaneous changes to interest rates. As of June 30, 2026, in the event of an instantaneous upward and downward change in rates from management's interest rate forecast over the next twelve months, assuming a static balance sheet, the following estimated changes are calculated: </w:t>
      </w:r>
    </w:p>
    <w:p>
      <w:pPr>
        <w:pStyle w:val="TextBody"/>
        <w:bidi w:val="0"/>
        <w:spacing w:before="40" w:after="283"/>
        <w:jc w:val="both"/>
        <w:rPr/>
      </w:pPr>
      <w:r>
        <w:rPr/>
        <w:t> </w:t>
      </w:r>
    </w:p>
    <w:tbl>
      <w:tblPr>
        <w:tblW w:w="4400" w:type="dxa"/>
        <w:jc w:val="left"/>
        <w:tblInd w:w="0" w:type="dxa"/>
        <w:tblLayout w:type="fixed"/>
        <w:tblCellMar>
          <w:top w:w="28" w:type="dxa"/>
          <w:left w:w="28" w:type="dxa"/>
          <w:bottom w:w="28" w:type="dxa"/>
          <w:right w:w="28" w:type="dxa"/>
        </w:tblCellMar>
      </w:tblPr>
      <w:tblGrid>
        <w:gridCol w:w="1021"/>
        <w:gridCol w:w="146"/>
        <w:gridCol w:w="360"/>
        <w:gridCol w:w="1335"/>
        <w:gridCol w:w="146"/>
        <w:gridCol w:w="146"/>
        <w:gridCol w:w="1246"/>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1 Change</w:t>
            </w:r>
          </w:p>
        </w:tc>
      </w:tr>
      <w:tr>
        <w:trPr/>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 xml:space="preserve">Rate Shift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1 Forecast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 Level</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(9.45%)</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(7.13%)</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(4.72%)</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(2.42%)</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Level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123,792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r>
              <w:rPr>
                <w:rFonts w:ascii="Times New Roman" w:hAnsi="Times New Roman"/>
                <w:color w:val="000000"/>
                <w:sz w:val="19"/>
              </w:rPr>
              <w:t>%</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1.26%</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2.66%</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3.94%</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4.49%</w:t>
            </w:r>
          </w:p>
        </w:tc>
      </w:tr>
    </w:tbl>
    <w:p>
      <w:pPr>
        <w:pStyle w:val="TextBody"/>
        <w:bidi w:val="0"/>
        <w:spacing w:before="40" w:after="283"/>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jc w:val="both"/>
        <w:rPr>
          <w:rFonts w:ascii="Times New Roman" w:hAnsi="Times New Roman"/>
          <w:color w:val="000000"/>
          <w:sz w:val="18"/>
        </w:rPr>
      </w:pPr>
      <w:r>
        <w:rPr>
          <w:rFonts w:ascii="Times New Roman" w:hAnsi="Times New Roman"/>
          <w:color w:val="000000"/>
          <w:sz w:val="18"/>
        </w:rPr>
        <w:t>Assumes an instantaneous uniform change in interest rates at all maturities.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an instantaneous and severe shift in interest rates was used in this analysis to provide an estimate of exposure under these scenarios, management believes that a gradual shift in interest rates would have a more modest impact. Further, the earnings simulation model does not take into account factors such as future balance sheet growth, changes in product mix, changes in yield curve relationships, and changing product spreads that could alter any potential adverse impact of changes in interest rates.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behavior of the deposit portfolio in the baseline forecast and in alternate interest rate scenarios set out in the table above is a key assumption in the projected estimates of net interest income. The projected impact on net interest income in the table above assumes no change in deposit portfolio size or mix from the baseline forecast in alternative rate environments. In higher rate scenarios, any customer activity resulting in the replacement of low-cost or non-interest-bearing deposits with higher-yielding deposits or market-based funding would reduce the benefit in those scenarios.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June 30, 2026, the earnings simulation model indicated that the Bank was in compliance with the Board of Directors approved Interest Rate Risk Policy. </w:t>
      </w:r>
    </w:p>
    <w:p>
      <w:pPr>
        <w:pStyle w:val="TextBody"/>
        <w:bidi w:val="0"/>
        <w:spacing w:before="120" w:after="283"/>
        <w:jc w:val="both"/>
        <w:rPr>
          <w:rFonts w:ascii="Times New Roman" w:hAnsi="Times New Roman"/>
          <w:sz w:val="20"/>
        </w:rPr>
      </w:pPr>
      <w:r>
        <w:rPr>
          <w:rFonts w:ascii="Times New Roman" w:hAnsi="Times New Roman"/>
          <w:b/>
          <w:i/>
          <w:color w:val="000000"/>
          <w:sz w:val="20"/>
        </w:rPr>
        <w:t>Economic Value of Equity Model</w:t>
      </w:r>
      <w:r>
        <w:rPr>
          <w:rFonts w:ascii="Times New Roman" w:hAnsi="Times New Roman"/>
          <w:color w:val="000000"/>
          <w:sz w:val="20"/>
        </w:rPr>
        <w:t>. While earnings simulation modeling attempts to determine the impact of a changing rate environment to net interest income, the Economic Value of Equity Model (“EVE”) measures estimated changes to the economic values of assets, liabilities and off-balance sheet items as a result of interest rate changes. Economic values are determined by discounting expected cash flows from assets, liabilities and off-balance sheet items, which establishes a base case EVE. Rates are then shocked as prescribed by the Interest Rate Risk Policy to measure the sensitivity in EVE values for each of those shocked rate scenarios versus the base case. The Interest Rate Risk Policy sets limits for those sensitivities. At June 30, 2026, the EVE modeling calculated the following estimated changes in EVE due to instantaneous upward and downward changes in rates:</w:t>
      </w:r>
    </w:p>
    <w:p>
      <w:pPr>
        <w:pStyle w:val="TextBody"/>
        <w:bidi w:val="0"/>
        <w:spacing w:before="40" w:after="283"/>
        <w:jc w:val="both"/>
        <w:rPr/>
      </w:pPr>
      <w:r>
        <w:rPr/>
        <w:t> </w:t>
      </w:r>
    </w:p>
    <w:tbl>
      <w:tblPr>
        <w:tblW w:w="8729" w:type="dxa"/>
        <w:jc w:val="left"/>
        <w:tblInd w:w="0" w:type="dxa"/>
        <w:tblLayout w:type="fixed"/>
        <w:tblCellMar>
          <w:top w:w="28" w:type="dxa"/>
          <w:left w:w="28" w:type="dxa"/>
          <w:bottom w:w="28" w:type="dxa"/>
          <w:right w:w="28" w:type="dxa"/>
        </w:tblCellMar>
      </w:tblPr>
      <w:tblGrid>
        <w:gridCol w:w="1681"/>
        <w:gridCol w:w="146"/>
        <w:gridCol w:w="211"/>
        <w:gridCol w:w="781"/>
        <w:gridCol w:w="146"/>
        <w:gridCol w:w="146"/>
        <w:gridCol w:w="242"/>
        <w:gridCol w:w="966"/>
        <w:gridCol w:w="190"/>
        <w:gridCol w:w="167"/>
        <w:gridCol w:w="167"/>
        <w:gridCol w:w="725"/>
        <w:gridCol w:w="331"/>
        <w:gridCol w:w="146"/>
        <w:gridCol w:w="183"/>
        <w:gridCol w:w="717"/>
        <w:gridCol w:w="340"/>
        <w:gridCol w:w="183"/>
        <w:gridCol w:w="197"/>
        <w:gridCol w:w="853"/>
        <w:gridCol w:w="21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EVE as a Percentage of Present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Value of Assets </w:t>
            </w:r>
            <w:r>
              <w:rPr>
                <w:rFonts w:ascii="Times New Roman" w:hAnsi="Times New Roman"/>
                <w:b/>
                <w:color w:val="000000"/>
                <w:sz w:val="11"/>
              </w:rPr>
              <w:t>(3)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Increase (Decrease) in</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Change in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EVE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EVE</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 xml:space="preserve">Rates (basis points)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EVE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Ratio </w:t>
            </w:r>
            <w:r>
              <w:rPr>
                <w:rFonts w:ascii="Times New Roman" w:hAnsi="Times New Roman"/>
                <w:b/>
                <w:color w:val="000000"/>
                <w:sz w:val="11"/>
              </w:rPr>
              <w:t>(4)</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(basis points)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467,425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(117,170</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14.51</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493,767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(90,828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(15.54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15.09</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521,532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(63,063</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15.69</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552,268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(32,327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16.35</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Level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584,595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17.02</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610,251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25,656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17.45</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638,554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53,959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17.92</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666,143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81,548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13.95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18.33</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711,805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127,210</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21.76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19.07</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Assumes an instantaneous uniform change in interest rates at all maturities.</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EVE is the discounted present value of expected cash flows from assets, liabilities and off-balance sheet contracts.</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(3)</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Present value of assets represents the discounted present value of incoming cash flows on interest-earning assets.</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(4)</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EVE Ratio represents EVE divided by the present value of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Although an instantaneous and severe shift in interest rates was used in this analysis to provide an estimate of exposure under these scenarios, management believes that a gradual shift in interest rates would have a more modest impact. Since EVE measures the discounted present value of cash flows over the estimated lives of instruments, the change in EVE does not directly correlate to the degree that earnings would be impacted over a shorter time horizon (i.e., the current year). Further, EVE does not take into account factors such as future balance sheet growth, changes in product mix, changes in yield curve relationships, and changing product spreads that could alter the adverse impact of changes in interest rates.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June 30, 2026, the EVE model indicated that the Bank was in compliance with the Board of Directors’ approved Interest Rate Risk Policy. </w:t>
      </w:r>
    </w:p>
    <w:p>
      <w:pPr>
        <w:pStyle w:val="TextBody"/>
        <w:bidi w:val="0"/>
        <w:spacing w:before="40" w:after="283"/>
        <w:jc w:val="both"/>
        <w:rPr/>
      </w:pPr>
      <w:r>
        <w:rPr/>
        <w:t> </w:t>
      </w:r>
    </w:p>
    <w:p>
      <w:pPr>
        <w:pStyle w:val="TextBody"/>
        <w:bidi w:val="0"/>
        <w:jc w:val="both"/>
        <w:rPr>
          <w:rFonts w:ascii="Times New Roman" w:hAnsi="Times New Roman"/>
          <w:sz w:val="20"/>
        </w:rPr>
      </w:pPr>
      <w:r>
        <w:rPr>
          <w:rFonts w:ascii="Times New Roman" w:hAnsi="Times New Roman"/>
          <w:b/>
          <w:i/>
          <w:color w:val="000000"/>
          <w:sz w:val="20"/>
        </w:rPr>
        <w:t>Most Likely Earnings Simulation Models</w:t>
      </w:r>
      <w:r>
        <w:rPr>
          <w:rFonts w:ascii="Times New Roman" w:hAnsi="Times New Roman"/>
          <w:b/>
          <w:color w:val="000000"/>
          <w:sz w:val="20"/>
        </w:rPr>
        <w:t>.</w:t>
      </w:r>
      <w:r>
        <w:rPr>
          <w:rFonts w:ascii="Times New Roman" w:hAnsi="Times New Roman"/>
          <w:color w:val="000000"/>
          <w:sz w:val="20"/>
        </w:rPr>
        <w:t xml:space="preserve"> Management also analyzes a most-likely earnings simulation scenario that projects the expected change in rates based on a forward yield curve adopted by management using expected balance sheet volumes forecasted by management. Separate growth assumptions are developed for loans, investments, deposits, etc. Other interest rate scenarios analyzed by management may include delayed rate shocks, yield curve steepening or flattening, or other variations in rate movements to further analyze or stress the balance sheet under various interest rate scenarios. Each scenario is evaluated by management and weighted to determine the most likely result. These processes assist management to better anticipate financial results and, as a result, management may determine the need to review other operating strategies and tactics which might enhance results or better position the balance sheet to reduce interest rate risk going forward.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of the above analyses may not, on its own, be an accurate indicator of how net interest income will be affected by changes in interest rates. Income associated with interest-earning assets and costs associated with interest-bearing liabilities may not be affected uniformly by changes in interest rates. In addition, the magnitude and duration of changes in interest rates may have a significant impact on net interest income. For example, although certain assets and liabilities may have similar maturities or periods of repricing, they may react in different degrees to changes in market interest rates. Interest rates on certain types of assets and liabilities fluctuate in advance of changes in general market rates, while interest rates on other types may lag behind changes in general market rates. In addition, certain assets, such as adjustable rate mortgage loans, have features (generally referred to as interest rate caps and floors) which limit changes in interest rates. Prepayment and early withdrawal levels also could deviate significantly from those assumed in calculating the maturity of certain instruments. The ability of many borrowers to service their debts also may decrease during periods of rising interest rates. The ALCO Committee reviews each of the above interest rate sensitivity analyses along with several different interest rate scenarios as part of its responsibility to provide a satisfactory, consistent level of profitability within the framework of established liquidity, loan, investment, borrowing and capital policies.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Management's model governance, model implementation and model validation processes and controls are subject to review in the Bank’s regulatory examinations to ensure they are in compliance with the most recent regulatory guidelines and industry and regulatory practices. Management utilizes a respected, sophisticated third party designed asset liability modeling software to help ensure implementation of management's assumptions into the model are processed as intended in a robust manner. That said, there are numerous assumptions regarding financial instrument behaviors that are integrated into the model. The assumptions are formulated by combining observations gleaned from the Bank’s historical studies of financial instruments and the best estimations of how, if at all, these instruments may behave in the future given changes in economic conditions, technology, etc. These assumptions may prove to be inaccurate. Additionally, given the large number of assumptions built into Bank’s asset liability modeling software, it is difficult, at best, to compare its results to other banks.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ALCO Committee may determine that the Company should over time become more or less asset or liability sensitive depending on the underlying balance sheet circumstances and its conclusions regarding interest rate fluctuations in future periods. The historically low benchmark federal funds interest rate of the last several years implemented in response the turmoil resulting from COVID-19 pandemic has ended.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September 18, 2024, the Federal Reserve announced that the target range for the federal funds rate decreased by 50 basis points to 4.75% to 5.00% effective on September 19, 2024. It marked the first rate cut in over four years and signaled a shift in strategy aimed at bolstering the economy and preventing a rise in unemployment. In November 2024, the Federal Reserve lowered the target range by 25 basis points to 4.50% to 4.75% and in December 2024 another 25 basis points to 4.25% to 4.50%. The Federal Reserve reduced the federal funds rate by 25 basis points each in September 2025, October 2025 and December 2025, resulting in the current federal funds rate range of 3.50% to 3.75%. At its January 2026, March 2026, April 2026, June 2026 and July 2026 meetings, the Federal Reserve kept its interest rate steady at 3.50% to 3.75%. Our net interest income may be positively impacted if the demand for loans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increases due to the lower rates, alone or in tandem with lower inflation, or it may be negatively impacted if we fail to appropriately time adjustments to our funding costs and the rates we earn on our loans. </w:t>
      </w:r>
    </w:p>
    <w:p>
      <w:pPr>
        <w:pStyle w:val="TextBody"/>
        <w:bidi w:val="0"/>
        <w:spacing w:before="200" w:after="283"/>
        <w:jc w:val="both"/>
        <w:rPr>
          <w:rFonts w:ascii="Times New Roman" w:hAnsi="Times New Roman"/>
          <w:sz w:val="20"/>
        </w:rPr>
      </w:pPr>
      <w:r>
        <w:rPr>
          <w:rFonts w:ascii="Times New Roman" w:hAnsi="Times New Roman"/>
          <w:b/>
          <w:i/>
          <w:color w:val="000000"/>
          <w:sz w:val="20"/>
        </w:rPr>
        <w:t>GAP Analysis</w:t>
      </w:r>
      <w:r>
        <w:rPr>
          <w:rFonts w:ascii="Times New Roman" w:hAnsi="Times New Roman"/>
          <w:color w:val="000000"/>
          <w:sz w:val="20"/>
        </w:rPr>
        <w:t>. In addition, management analyzes interest rate sensitivity by monitoring the Bank’s interest rate sensitivity "gap." The interest rate sensitivity gap is the difference between the amount of interest-earning assets maturing or repricing within a specific time period and the amount of interest bearing-liabilities maturing or repricing within that same time period. A gap is considered positive when the amount of interest rate sensitive assets maturing or repricing during a period exceeds the amount of interest rate sensitive liabilities maturing or repricing during the same period, and a gap is considered negative when the amount of interest rate sensitive liabilities maturing or repricing during a period exceeds the amount of interest rate sensitive assets maturing or repricing during the same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the Company’s interest-earning assets and its interest-bearing liabilities at June 30, 2026, which are anticipated to reprice or mature in each of the future time periods shown based upon certain assumptions. The amounts of assets and liabilities shown which reprice or mature during a particular period were determined in accordance with the earlier of term to repricing or the contractual maturity of the asset or liability. The table sets forth an approximation of the projected repricing of assets and liabilities at June 30, 2026, on the basis of contractual maturities, anticipated prepayments and scheduled rate adjustments. The loan amounts in the table reflect principal balances expected to be redeployed and/or repriced as a result of contractual amortization and as a result of contractual rate adjustments on adjustable-rate loans.</w:t>
      </w:r>
    </w:p>
    <w:p>
      <w:pPr>
        <w:pStyle w:val="TextBody"/>
        <w:bidi w:val="0"/>
        <w:jc w:val="both"/>
        <w:rPr/>
      </w:pPr>
      <w:r>
        <w:rPr/>
        <w:t> </w:t>
      </w:r>
    </w:p>
    <w:tbl>
      <w:tblPr>
        <w:tblW w:w="10633" w:type="dxa"/>
        <w:jc w:val="left"/>
        <w:tblInd w:w="0" w:type="dxa"/>
        <w:tblLayout w:type="fixed"/>
        <w:tblCellMar>
          <w:top w:w="28" w:type="dxa"/>
          <w:left w:w="28" w:type="dxa"/>
          <w:bottom w:w="28" w:type="dxa"/>
          <w:right w:w="28" w:type="dxa"/>
        </w:tblCellMar>
      </w:tblPr>
      <w:tblGrid>
        <w:gridCol w:w="1036"/>
        <w:gridCol w:w="146"/>
        <w:gridCol w:w="181"/>
        <w:gridCol w:w="586"/>
        <w:gridCol w:w="211"/>
        <w:gridCol w:w="146"/>
        <w:gridCol w:w="181"/>
        <w:gridCol w:w="691"/>
        <w:gridCol w:w="211"/>
        <w:gridCol w:w="146"/>
        <w:gridCol w:w="181"/>
        <w:gridCol w:w="691"/>
        <w:gridCol w:w="211"/>
        <w:gridCol w:w="146"/>
        <w:gridCol w:w="181"/>
        <w:gridCol w:w="691"/>
        <w:gridCol w:w="211"/>
        <w:gridCol w:w="146"/>
        <w:gridCol w:w="181"/>
        <w:gridCol w:w="586"/>
        <w:gridCol w:w="211"/>
        <w:gridCol w:w="146"/>
        <w:gridCol w:w="181"/>
        <w:gridCol w:w="691"/>
        <w:gridCol w:w="211"/>
        <w:gridCol w:w="146"/>
        <w:gridCol w:w="181"/>
        <w:gridCol w:w="586"/>
        <w:gridCol w:w="151"/>
        <w:gridCol w:w="146"/>
        <w:gridCol w:w="181"/>
        <w:gridCol w:w="691"/>
        <w:gridCol w:w="35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0"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June 30, 2026</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0"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Time to Repricing</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Zero to 90 Days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Zero to</w:t>
              <w:br/>
              <w:t>180 Days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Zero Days</w:t>
              <w:br/>
              <w:t>to One</w:t>
              <w:br/>
              <w:t>Year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Zero Days</w:t>
              <w:br/>
              <w:t>to Five</w:t>
              <w:br/>
              <w:t>Years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Five Years</w:t>
              <w:br/>
              <w:t>Plus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Earning</w:t>
              <w:br/>
              <w:t>Assets &amp;</w:t>
              <w:br/>
              <w:t>Costing</w:t>
              <w:br/>
              <w:t>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w:t>
              <w:br/>
              <w:t>Earning</w:t>
              <w:br/>
              <w:t>Assets &amp;</w:t>
              <w:br/>
              <w:t>Non</w:t>
              <w:br/>
              <w:t>Costing</w:t>
              <w:br/>
              <w:t>Liabilities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0"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(Dollars in thousands)</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Interest-bearing deposits in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113,422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113,422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113,422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113,422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113,422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26,588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140,010</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Securities </w:t>
            </w:r>
            <w:r>
              <w:rPr>
                <w:rFonts w:ascii="Times New Roman" w:hAnsi="Times New Roman"/>
                <w:color w:val="000000"/>
                <w:sz w:val="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35,324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66,275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203,511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179,119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382,630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(44,240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338,390</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Placement with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loans (includes LHFS)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721,379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1,047,582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1,476,889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2,797,131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91,924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2,889,055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2,882,790</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FHLBNY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30,689</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FRBNY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10,714</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91,869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91,869</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860,926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1,196,577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1,656,835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3,114,313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271,043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3,385,356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109,355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3,494,711</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Non-maturity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111,354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222,709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445,419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1,203,991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337,534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1,541,525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1,533,024</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234,822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433,108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589,663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738,671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738,671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738,785</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621,100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621,100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621,100</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40,832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40,832</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546,176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855,817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1,264,082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2,563,762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337,534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2,901,296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2,933,741</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560,970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560,970</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Total liabilities and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546,176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855,817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1,264,082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2,563,762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337,534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2,901,296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593,415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3,494,711</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Asset/liability gap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314,750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340,760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392,753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550,551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(66,491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484,060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Gap/assets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jc w:val="both"/>
        <w:rPr>
          <w:rFonts w:ascii="Times New Roman" w:hAnsi="Times New Roman"/>
          <w:color w:val="000000"/>
          <w:sz w:val="18"/>
        </w:rPr>
      </w:pPr>
      <w:r>
        <w:rPr>
          <w:rFonts w:ascii="Times New Roman" w:hAnsi="Times New Roman"/>
          <w:color w:val="000000"/>
          <w:sz w:val="18"/>
        </w:rPr>
        <w:t>Includes available-for-sale securities and held-to-maturity securities.</w:t>
      </w:r>
    </w:p>
    <w:p>
      <w:pPr>
        <w:pStyle w:val="TextBody"/>
        <w:bidi w:val="0"/>
        <w:jc w:val="both"/>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the Company’s interest-earning assets and its interest-bearing liabilities at December 31, 2025, which are anticipated to reprice or mature in each of the future time periods shown based upon certain assumptions. The amounts of assets and liabilities shown which reprice or mature during a particular period were determined in accordance with the earlier of term to repricing or the contractual maturity of the asset or liability. The table sets forth an approximation of the projected repricing of assets and liabilities at December 31, 2025, on the basis of contractual maturities, anticipated prepayments and scheduled rate adjustments. The loan amounts in the table reflect principal balances expected to be redeployed and/or repriced as a result of contractual amortization and as a result of contractual rate adjustments on adjustable-rate loans.</w:t>
      </w:r>
    </w:p>
    <w:p>
      <w:pPr>
        <w:pStyle w:val="TextBody"/>
        <w:bidi w:val="0"/>
        <w:jc w:val="both"/>
        <w:rPr/>
      </w:pPr>
      <w:r>
        <w:rPr/>
        <w:t> </w:t>
      </w:r>
    </w:p>
    <w:tbl>
      <w:tblPr>
        <w:tblW w:w="10678" w:type="dxa"/>
        <w:jc w:val="left"/>
        <w:tblInd w:w="0" w:type="dxa"/>
        <w:tblLayout w:type="fixed"/>
        <w:tblCellMar>
          <w:top w:w="28" w:type="dxa"/>
          <w:left w:w="28" w:type="dxa"/>
          <w:bottom w:w="28" w:type="dxa"/>
          <w:right w:w="28" w:type="dxa"/>
        </w:tblCellMar>
      </w:tblPr>
      <w:tblGrid>
        <w:gridCol w:w="1036"/>
        <w:gridCol w:w="146"/>
        <w:gridCol w:w="181"/>
        <w:gridCol w:w="586"/>
        <w:gridCol w:w="211"/>
        <w:gridCol w:w="146"/>
        <w:gridCol w:w="181"/>
        <w:gridCol w:w="691"/>
        <w:gridCol w:w="211"/>
        <w:gridCol w:w="146"/>
        <w:gridCol w:w="181"/>
        <w:gridCol w:w="691"/>
        <w:gridCol w:w="211"/>
        <w:gridCol w:w="146"/>
        <w:gridCol w:w="181"/>
        <w:gridCol w:w="691"/>
        <w:gridCol w:w="211"/>
        <w:gridCol w:w="146"/>
        <w:gridCol w:w="181"/>
        <w:gridCol w:w="631"/>
        <w:gridCol w:w="211"/>
        <w:gridCol w:w="146"/>
        <w:gridCol w:w="181"/>
        <w:gridCol w:w="691"/>
        <w:gridCol w:w="211"/>
        <w:gridCol w:w="146"/>
        <w:gridCol w:w="181"/>
        <w:gridCol w:w="586"/>
        <w:gridCol w:w="151"/>
        <w:gridCol w:w="146"/>
        <w:gridCol w:w="181"/>
        <w:gridCol w:w="691"/>
        <w:gridCol w:w="35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5"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December 31, 2025</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5"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Time to Repricing</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Zero to</w:t>
              <w:br/>
              <w:t>90 Days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Zero to</w:t>
              <w:br/>
              <w:t>180 Days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Zero Days</w:t>
              <w:br/>
              <w:t>to One</w:t>
              <w:br/>
              <w:t>Year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Zero Days</w:t>
              <w:br/>
              <w:t>to Five</w:t>
              <w:br/>
              <w:t>Years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Five</w:t>
              <w:br/>
              <w:t>Years</w:t>
              <w:br/>
              <w:t>Plus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Earning</w:t>
              <w:br/>
              <w:t>Assets &amp;</w:t>
              <w:br/>
              <w:t>Costing</w:t>
              <w:br/>
              <w:t>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w:t>
              <w:br/>
              <w:t>Earning</w:t>
              <w:br/>
              <w:t>Assets &amp;</w:t>
              <w:br/>
              <w:t>Non</w:t>
              <w:br/>
              <w:t>Costing</w:t>
              <w:br/>
              <w:t>Liabilities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5"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(Dollars in thousands)</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Interest-bearing deposits in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97,643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97,643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97,643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97,643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97,643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126,154</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Securities </w:t>
            </w:r>
            <w:r>
              <w:rPr>
                <w:rFonts w:ascii="Times New Roman" w:hAnsi="Times New Roman"/>
                <w:color w:val="000000"/>
                <w:sz w:val="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63,963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235,594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143,993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379,587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365,178</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Placement with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loans (includes LHFS)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784,821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1,022,289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1,454,001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2,568,380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53,141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2,621,521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2,602,646</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FHLBNY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29,309</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FRBNY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10,698</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89,736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89,736</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949,900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1,197,767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1,655,614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2,941,873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197,134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3,139,007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84,963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3,223,970</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Non-maturity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79,323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158,647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317,295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975,246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375,933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1,351,179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1,342,132</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283,828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450,633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594,370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704,503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704,503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704,503</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596,100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596,100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596,100</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39,686</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438,151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684,280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1,136,665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2,275,849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375,933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2,651,782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2,682,421</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541,549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541,549</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Total liabilities and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438,151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684,280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1,136,665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2,275,849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375,933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2,651,782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572,188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3,223,970</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Asset/liability gap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511,749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513,487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518,949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666,024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(178,799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487,225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Gap/assets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jc w:val="both"/>
        <w:rPr>
          <w:rFonts w:ascii="Times New Roman" w:hAnsi="Times New Roman"/>
          <w:color w:val="000000"/>
          <w:sz w:val="18"/>
        </w:rPr>
      </w:pPr>
      <w:r>
        <w:rPr>
          <w:rFonts w:ascii="Times New Roman" w:hAnsi="Times New Roman"/>
          <w:color w:val="000000"/>
          <w:sz w:val="18"/>
        </w:rPr>
        <w:t>Includes available-for-sale securities and held-to-maturity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shortcomings are inherent in the methodologies used in the above interest rate risk measurements. Modeling changes require making certain assumptions that may or may not reflect the manner in which actual yields and costs respond to changes in market interest rates. In this regard, the net interest income and EVE tables presented assume that the composition of the interest-sensitive assets and liabilities existing at the beginning of a period remains constant over the period being measured and assumes that a particular change in interest rates is reflected uniformly across the yield curve regardless of the duration or repricing of specific assets and liabilities. Accordingly, although the net interest income and EVE tables provide an indication of the interest rate risk exposure at a particular point in time, such measurements are not intended to and do not provide a precise forecast of the effect of changes in market interest rates on net interest income and EVE and will differ from actual results. Furthermore, although certain assets and liabilities may have similar maturities or periods to repricing, they may react in different degrees to changes in market interest rates. Additionally, certain assets, such as adjustable-rate loans, have features that restrict changes in interest rates both on a short-term basis and over the life of the asset.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the event of changes in interest rates, prepayment and early withdrawal levels would likely deviate significantly from those assumed in calculating the gap table.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rate risk calculations also may not reflect the fair values of financial instruments. For example, decreases in market interest rates can increase the fair values of loans, deposits and borrowings.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Liquidity describes the ability to meet the financial obligations that arise in the ordinary course of business. Liquidity is primarily needed to meet the borrowing and deposit withdrawal requirements of the Company’s customers and to fund current and future planned expenditures.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maturities and scheduled amortization of loans and securities are predictable sources of funds, deposit flows and loan prepayments are greatly influenced by market interest rates, economic conditions, and competition. The most liquid assets are cash and interest-bearing deposits in banks. The levels of these assets are dependent on operating, financing, lending, and investing activities during any given period. The Bank had $621.1 million and $596.1 million of outstanding term advances from FHLBNY at June 30, 2026 and December 31, 2025, respectively. The Bank had no overnight line of credit advance from the FHLBNY at June 30, 2026 and December 31, 2025.</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operating activities was $21.9 million and $19.3 million for the six months ended June 30, 2026 and 2025, respectively. Net cash used in investing activities, which consists primarily of disbursements for loan originations, net purchase and redemption of FHLBNY stock and purchase of equipment offset by principal collections on loans and proceeds from maturities, calls and principal repayments on securities was ($257.9) million and ($129.2) million for the six months ended June 30, 2026 and 2025, respectively. Net cash provided by financing activities, consisting of activities in borrowing, deposit accounts and dividends paid on preferred stock, was $249.8 million and $96.8 million for the six months ended June 30, 2026 and 2025,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June 30, 2026 and December 31, 2025, all regulatory capital requirements were met, resulting in the Company and the Bank being categorized as well capitalized. Management is not aware of any conditions or events that would change this categorization.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120" w:after="283"/>
        <w:jc w:val="both"/>
        <w:rPr>
          <w:rFonts w:ascii="Times New Roman" w:hAnsi="Times New Roman"/>
          <w:sz w:val="20"/>
        </w:rPr>
      </w:pPr>
      <w:r>
        <w:rPr>
          <w:rFonts w:ascii="Times New Roman" w:hAnsi="Times New Roman"/>
          <w:b/>
          <w:i/>
          <w:color w:val="000000"/>
          <w:sz w:val="20"/>
        </w:rPr>
        <w:t>Commitments</w:t>
      </w:r>
      <w:r>
        <w:rPr>
          <w:rFonts w:ascii="Times New Roman" w:hAnsi="Times New Roman"/>
          <w:color w:val="000000"/>
          <w:sz w:val="20"/>
        </w:rPr>
        <w:t>. As a financial services provider, the Company routinely is a party to various financial instruments with off-balance-sheet risks, such as commitments to extend credit and unused lines of credit. Although these contractual obligations represent the Company’s future cash requirements, a significant portion of commitments to extend credit may expire without being drawn upon. Such commitments are subject to the same credit policies and approval process accorded to loans originated. At June 30, 2026 and December 31, 2025, the Company had outstanding commitments to originate loans and extend credit of $605.5 million and $481.7 million,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anticipated that the Company will have sufficient funds available to meet its current lending commitments. Certificates of deposit that are scheduled to mature in 2026 totaled $433.1 million. Management expects that a substantial portion of the maturing time deposits will be renewed. However, if a substantial portion of these deposits are not retained, the Company may utilize FHLBNY advances, FRBNY advances, unsecured credit lines with correspondent banks, or raise interest rates on deposits to attract new accounts, which may result in higher levels of interest expense.</w:t>
      </w:r>
    </w:p>
    <w:p>
      <w:pPr>
        <w:pStyle w:val="TextBody"/>
        <w:bidi w:val="0"/>
        <w:spacing w:before="120" w:after="283"/>
        <w:jc w:val="both"/>
        <w:rPr>
          <w:rFonts w:ascii="Times New Roman" w:hAnsi="Times New Roman"/>
          <w:sz w:val="20"/>
        </w:rPr>
      </w:pPr>
      <w:r>
        <w:rPr>
          <w:rFonts w:ascii="Times New Roman" w:hAnsi="Times New Roman"/>
          <w:b/>
          <w:i/>
          <w:color w:val="000000"/>
          <w:sz w:val="20"/>
        </w:rPr>
        <w:t>Contractual Obligations</w:t>
      </w:r>
      <w:r>
        <w:rPr>
          <w:rFonts w:ascii="Times New Roman" w:hAnsi="Times New Roman"/>
          <w:color w:val="000000"/>
          <w:sz w:val="20"/>
        </w:rPr>
        <w:t>. In the ordinary course of its operations, the Company enters into certain contractual obligations. Such obligations include data processing services, operating leases for premises and equipment, agreements with respect to borrowed funds and deposit liabilities. There have been no material changes in the Company’s material cash requirements under its contractual obligations as discussed in its most recent annual report on Form 10-K.</w:t>
      </w:r>
    </w:p>
    <w:p>
      <w:pPr>
        <w:pStyle w:val="TextBody"/>
        <w:bidi w:val="0"/>
        <w:spacing w:before="200" w:after="283"/>
        <w:jc w:val="both"/>
        <w:rPr>
          <w:rFonts w:ascii="Times New Roman" w:hAnsi="Times New Roman"/>
          <w:sz w:val="20"/>
        </w:rPr>
      </w:pPr>
      <w:r>
        <w:rPr>
          <w:rFonts w:ascii="Times New Roman" w:hAnsi="Times New Roman"/>
          <w:b/>
          <w:i/>
          <w:color w:val="000000"/>
          <w:sz w:val="20"/>
        </w:rPr>
        <w:t>Dividend on Preferred Stock</w:t>
      </w:r>
      <w:r>
        <w:rPr>
          <w:rFonts w:ascii="Times New Roman" w:hAnsi="Times New Roman"/>
          <w:color w:val="000000"/>
          <w:sz w:val="20"/>
        </w:rPr>
        <w:t>. Pursuant to the terms of its Preferred Stock, the Company is required to pay a quarterly dividend on its Preferred Stock, beginning during the quarter ended June 30, 2024. The floor dividend rate is 0.50% and the ceiling dividend rate is 2.00%, based on achievement of certain qualified lending targets. For quarterly dividends through June 15, 2025, the Company is required to pay quarterly dividends on the Preferred Stock at a rate of 0.50%. In June 2024, the Company began paying dividends on its Preferred Stock, which dividends were $0.6 million for both the six months ended June 30, 2026 and 2025.</w:t>
      </w:r>
    </w:p>
    <w:p>
      <w:pPr>
        <w:pStyle w:val="TextBody"/>
        <w:bidi w:val="0"/>
        <w:spacing w:before="120" w:after="283"/>
        <w:jc w:val="both"/>
        <w:rPr>
          <w:rFonts w:ascii="Times New Roman" w:hAnsi="Times New Roman"/>
          <w:sz w:val="20"/>
        </w:rPr>
      </w:pPr>
      <w:r>
        <w:rPr>
          <w:rFonts w:ascii="Times New Roman" w:hAnsi="Times New Roman"/>
          <w:b/>
          <w:i/>
          <w:color w:val="000000"/>
          <w:sz w:val="20"/>
        </w:rPr>
        <w:t>Other Material Cash Requirements.</w:t>
      </w:r>
      <w:r>
        <w:rPr>
          <w:rFonts w:ascii="Times New Roman" w:hAnsi="Times New Roman"/>
          <w:color w:val="000000"/>
          <w:sz w:val="20"/>
        </w:rPr>
        <w:t xml:space="preserve"> In addition to contractual obligations, the Company’s material cash requirements also includes compensation and benefits expenses for its employees, which were $17.7 million for the six months ended June 30, 2026. The Company also has material cash requirements for occupancy and equipment expenses, excluding depreciation and amortization of $1.0 million, related to rental expenses, general maintenance and cleaning supplies, guard services, software licenses and other miscellaneous expenses, which were $6.5 million for the six months ended June 30, 2026.</w:t>
      </w:r>
    </w:p>
    <w:p>
      <w:pPr>
        <w:pStyle w:val="TextBody"/>
        <w:bidi w:val="0"/>
        <w:spacing w:before="360" w:after="283"/>
        <w:jc w:val="both"/>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included in Part I, Item 2 of this report under “Management of Market Risk”.</w:t>
      </w:r>
    </w:p>
    <w:p>
      <w:pPr>
        <w:pStyle w:val="TextBody"/>
        <w:bidi w:val="0"/>
        <w:spacing w:before="360" w:after="283"/>
        <w:jc w:val="both"/>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evaluation was performed under the supervision and with the participation of the Company’s management, including the Chief Executive Officer and the Chief Financial Officer, of the effectiveness of the design and operation of the Company’s disclosure controls and procedures (as defined in Rule 13a-15(e) or Rule 15d-15(e) promulgated under the Securities and Exchange Act of 1934, as amended) as of June 30, 2026. Based on that evaluation, the Company’s management, including the Chief Executive Officer and the Chief Financial Officer, concluded that the Registrant’s disclosure controls and procedures were effective.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six months ended June 30, 2026, there were no changes in the Company’s internal controls over financial reporting that have materially affected, or are reasonably likely to materially affect, its internal controls over financial reporting.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4" w:name="part_iior_information"/>
      <w:bookmarkEnd w:id="14"/>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both"/>
        <w:rPr>
          <w:rFonts w:ascii="Times New Roman" w:hAnsi="Times New Roman"/>
          <w:b/>
          <w:color w:val="000000"/>
          <w:sz w:val="20"/>
        </w:rPr>
      </w:pPr>
      <w:bookmarkStart w:id="15" w:name="item_1_legal_proceedings"/>
      <w:bookmarkEnd w:id="15"/>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not involved in any pending legal proceedings as a plaintiff or a defendant other than routine legal proceeding occurring in the ordinary course of business. At June 30, 2026, the Company was not involved in any legal proceedings the outcome of which management believes would be material to its financial condition or results of operations.</w:t>
      </w:r>
    </w:p>
    <w:p>
      <w:pPr>
        <w:pStyle w:val="TextBody"/>
        <w:bidi w:val="0"/>
        <w:spacing w:before="360" w:after="283"/>
        <w:jc w:val="both"/>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 addition to the other information set forth in this Quarterly Report, you should carefully consider the risk factors and other cautionary statements described under the heading “Item 1A. Risk Factors” included in our 2025 Form 10-K and the risk factors and other cautionary statements contained in our other SEC filings, which could materially affect our businesses, financial condition or future results. Additional risks and uncertainties not currently known to us or that we currently deem to be immaterial also may materially adversely affect our business, financial condition or future results. There have been no material changes in our Risk Factors from those disclosed in Item 1A of our 2025 Form 10-K or our other SEC filings.</w:t>
      </w:r>
    </w:p>
    <w:p>
      <w:pPr>
        <w:pStyle w:val="TextBody"/>
        <w:bidi w:val="0"/>
        <w:spacing w:before="120" w:after="283"/>
        <w:jc w:val="both"/>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20" w:name="item_5_or_information"/>
      <w:bookmarkEnd w:id="20"/>
      <w:r>
        <w:rPr>
          <w:rFonts w:ascii="Times New Roman" w:hAnsi="Times New Roman"/>
          <w:b/>
          <w:color w:val="000000"/>
          <w:sz w:val="20"/>
        </w:rPr>
        <w:t>Item 5.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82"/>
        <w:gridCol w:w="146"/>
        <w:gridCol w:w="9277"/>
      </w:tblGrid>
      <w:tr>
        <w:trPr/>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7" w:type="dxa"/>
            <w:tcBorders/>
            <w:vAlign w:val="center"/>
          </w:tcPr>
          <w:p>
            <w:pPr>
              <w:pStyle w:val="TableContents"/>
              <w:bidi w:val="0"/>
              <w:spacing w:before="0" w:after="283"/>
              <w:jc w:val="left"/>
              <w:rPr>
                <w:sz w:val="4"/>
                <w:szCs w:val="4"/>
              </w:rPr>
            </w:pPr>
            <w:r>
              <w:rPr>
                <w:sz w:val="4"/>
                <w:szCs w:val="4"/>
              </w:rPr>
            </w:r>
          </w:p>
        </w:tc>
      </w:tr>
      <w:tr>
        <w:trPr/>
        <w:tc>
          <w:tcPr>
            <w:tcW w:w="782"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7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00"/>
                  <w:sz w:val="20"/>
                </w:rPr>
                <w:t>Articles of Incorporation of Ponce Financial Group, Inc. (attached as Exhibit 3.1 to the Registrant’s Form S-1 (File No. 333-258394) filed with the Commission on August 3, 2021).</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80"/>
                  <w:sz w:val="20"/>
                </w:rPr>
                <w:t>Bylaws of Ponce Financial Group, Inc. (attached as Exhibit 3.2 to the Registrant’s Form S-1 (File No. 333-258394) filed with the Commission on August 3, 2021).</w:t>
              </w:r>
            </w:hyperlink>
            <w:r>
              <w:rPr>
                <w:rFonts w:ascii="Times New Roman" w:hAnsi="Times New Roman"/>
                <w:color w:val="000000"/>
                <w:sz w:val="20"/>
              </w:rPr>
              <w:t xml:space="preserve"> </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00"/>
                  <w:sz w:val="20"/>
                </w:rPr>
                <w:t>Articles Supplementary to the Charter of Ponce Financial Group, Inc. (attached as Exhibit 3.1 to the Registrant’s Current Report on Form 8-K (File No. 001-41255) filed with the Commission on June 9, 2022).</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pdlb-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pdlb-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pdlb-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pdlb-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4" w:space="1" w:color="000000"/>
        </w:pBdr>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 Filed herewith.</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6967" w:type="dxa"/>
        <w:jc w:val="left"/>
        <w:tblInd w:w="0" w:type="dxa"/>
        <w:tblLayout w:type="fixed"/>
        <w:tblCellMar>
          <w:top w:w="28" w:type="dxa"/>
          <w:left w:w="28" w:type="dxa"/>
          <w:bottom w:w="28" w:type="dxa"/>
          <w:right w:w="28" w:type="dxa"/>
        </w:tblCellMar>
      </w:tblPr>
      <w:tblGrid>
        <w:gridCol w:w="1846"/>
        <w:gridCol w:w="109"/>
        <w:gridCol w:w="406"/>
        <w:gridCol w:w="460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60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2" w:type="dxa"/>
            <w:gridSpan w:val="2"/>
            <w:tcBorders/>
            <w:shd w:fill="FFFFFF" w:val="clear"/>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Ponce Financial Group, Inc.</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(Registrant)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46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/s/ Carlos P. Naudon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Carlos P. Naudon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46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Sergio J. Vaccaro</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Sergio J. Vaccaro</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Executive Vice President and Chief Financial Officer</w:t>
            </w:r>
          </w:p>
        </w:tc>
      </w:tr>
    </w:tbl>
    <w:p>
      <w:pPr>
        <w:pStyle w:val="TextBody"/>
        <w:bidi w:val="0"/>
        <w:jc w:val="both"/>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60</w:t>
      </w:r>
    </w:p>
    <w:p>
      <w:pPr>
        <w:pStyle w:val="HorizontalLine"/>
        <w:pBdr>
          <w:bottom w:val="double" w:sz="2" w:space="0" w:color="808080"/>
        </w:pBdr>
        <w:bidi w:val="0"/>
        <w:spacing w:before="0" w:after="283"/>
        <w:jc w:val="left"/>
        <w:rPr/>
      </w:pPr>
      <w:r>
        <w:rPr/>
      </w:r>
    </w:p>
    <w:p>
      <w:pPr>
        <w:pStyle w:val="TextBody"/>
        <w:bidi w:val="0"/>
        <w:jc w:val="left"/>
        <w:rPr/>
      </w:pPr>
      <w:bookmarkStart w:id="23" w:name="pdlb-ex31_1.htm"/>
      <w:bookmarkStart w:id="24" w:name="kspdlbex31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Carlos P. Naudon,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of Ponce Financial Group,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4492" w:type="dxa"/>
        <w:jc w:val="left"/>
        <w:tblInd w:w="0" w:type="dxa"/>
        <w:tblLayout w:type="fixed"/>
        <w:tblCellMar>
          <w:top w:w="28" w:type="dxa"/>
          <w:left w:w="28" w:type="dxa"/>
          <w:bottom w:w="28" w:type="dxa"/>
          <w:right w:w="28" w:type="dxa"/>
        </w:tblCellMar>
      </w:tblPr>
      <w:tblGrid>
        <w:gridCol w:w="1846"/>
        <w:gridCol w:w="109"/>
        <w:gridCol w:w="406"/>
        <w:gridCol w:w="21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Carlos P. Naudon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Carlos P. Naudon</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President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pdlb-ex31_2.htm"/>
      <w:bookmarkStart w:id="26" w:name="kspdlbex31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Sergio J. Vaccaro,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of Ponce Financial Group,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4612" w:type="dxa"/>
        <w:jc w:val="left"/>
        <w:tblInd w:w="0" w:type="dxa"/>
        <w:tblLayout w:type="fixed"/>
        <w:tblCellMar>
          <w:top w:w="28" w:type="dxa"/>
          <w:left w:w="28" w:type="dxa"/>
          <w:bottom w:w="28" w:type="dxa"/>
          <w:right w:w="28" w:type="dxa"/>
        </w:tblCellMar>
      </w:tblPr>
      <w:tblGrid>
        <w:gridCol w:w="1846"/>
        <w:gridCol w:w="109"/>
        <w:gridCol w:w="406"/>
        <w:gridCol w:w="225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2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Sergio J. Vaccaro</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Sergio J. Vaccaro</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Executive Vice President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pdlb-ex32_1.htm"/>
      <w:bookmarkStart w:id="28" w:name="kspdlbex32_1"/>
      <w:bookmarkEnd w:id="27"/>
      <w:bookmarkEnd w:id="28"/>
      <w:r>
        <w:rPr/>
        <w:t> </w:t>
      </w:r>
      <w:r>
        <w:br w:type="page"/>
      </w:r>
    </w:p>
    <w:p>
      <w:pPr>
        <w:pStyle w:val="TextBody"/>
        <w:bidi w:val="0"/>
        <w:jc w:val="right"/>
        <w:rPr>
          <w:rFonts w:ascii="Times New Roman" w:hAnsi="Times New Roman"/>
          <w:b/>
          <w:color w:val="000000"/>
          <w:sz w:val="19"/>
        </w:rPr>
      </w:pPr>
      <w:r>
        <w:rPr>
          <w:rFonts w:ascii="Times New Roman" w:hAnsi="Times New Roman"/>
          <w:b/>
          <w:color w:val="000000"/>
          <w:sz w:val="19"/>
        </w:rPr>
        <w:t>Exhibit 32.1</w:t>
      </w:r>
    </w:p>
    <w:p>
      <w:pPr>
        <w:pStyle w:val="TextBody"/>
        <w:bidi w:val="0"/>
        <w:spacing w:before="360" w:after="283"/>
        <w:jc w:val="center"/>
        <w:rPr>
          <w:rFonts w:ascii="Times New Roman" w:hAnsi="Times New Roman"/>
          <w:b/>
          <w:color w:val="000000"/>
          <w:sz w:val="19"/>
        </w:rPr>
      </w:pPr>
      <w:r>
        <w:rPr>
          <w:rFonts w:ascii="Times New Roman" w:hAnsi="Times New Roman"/>
          <w:b/>
          <w:color w:val="000000"/>
          <w:sz w:val="19"/>
        </w:rPr>
        <w:t>CERTIFICATION PURSUANT TO</w:t>
      </w:r>
    </w:p>
    <w:p>
      <w:pPr>
        <w:pStyle w:val="TextBody"/>
        <w:bidi w:val="0"/>
        <w:jc w:val="center"/>
        <w:rPr>
          <w:rFonts w:ascii="Times New Roman" w:hAnsi="Times New Roman"/>
          <w:b/>
          <w:color w:val="000000"/>
          <w:sz w:val="19"/>
        </w:rPr>
      </w:pPr>
      <w:r>
        <w:rPr>
          <w:rFonts w:ascii="Times New Roman" w:hAnsi="Times New Roman"/>
          <w:b/>
          <w:color w:val="000000"/>
          <w:sz w:val="19"/>
        </w:rPr>
        <w:t>18 U.S.C. SECTION 1350, AS ADOPTED PURSUANT TO</w:t>
      </w:r>
    </w:p>
    <w:p>
      <w:pPr>
        <w:pStyle w:val="TextBody"/>
        <w:bidi w:val="0"/>
        <w:jc w:val="center"/>
        <w:rPr>
          <w:rFonts w:ascii="Times New Roman" w:hAnsi="Times New Roman"/>
          <w:b/>
          <w:color w:val="000000"/>
          <w:sz w:val="19"/>
        </w:rPr>
      </w:pPr>
      <w:r>
        <w:rPr>
          <w:rFonts w:ascii="Times New Roman" w:hAnsi="Times New Roman"/>
          <w:b/>
          <w:color w:val="000000"/>
          <w:sz w:val="19"/>
        </w:rPr>
        <w:t>SECTION 906 OF THE SARBANES-OXLEY ACT OF 2002</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In connection with the Quarterly Report of Ponce Financial Group,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(1)</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(2)</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The information contained in the Report fairly presents, in all material respects, the financial condition and results of operations of the Company.</w:t>
      </w:r>
    </w:p>
    <w:p>
      <w:pPr>
        <w:pStyle w:val="TextBody"/>
        <w:bidi w:val="0"/>
        <w:jc w:val="both"/>
        <w:rPr/>
      </w:pPr>
      <w:r>
        <w:rPr/>
        <w:t> </w:t>
      </w:r>
    </w:p>
    <w:tbl>
      <w:tblPr>
        <w:tblW w:w="4492" w:type="dxa"/>
        <w:jc w:val="left"/>
        <w:tblInd w:w="0" w:type="dxa"/>
        <w:tblLayout w:type="fixed"/>
        <w:tblCellMar>
          <w:top w:w="28" w:type="dxa"/>
          <w:left w:w="28" w:type="dxa"/>
          <w:bottom w:w="28" w:type="dxa"/>
          <w:right w:w="28" w:type="dxa"/>
        </w:tblCellMar>
      </w:tblPr>
      <w:tblGrid>
        <w:gridCol w:w="1846"/>
        <w:gridCol w:w="109"/>
        <w:gridCol w:w="406"/>
        <w:gridCol w:w="21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9"/>
              </w:rPr>
            </w:pPr>
            <w:r>
              <w:rPr>
                <w:rFonts w:ascii="Times New Roman" w:hAnsi="Times New Roman"/>
                <w:color w:val="000000"/>
                <w:sz w:val="19"/>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9"/>
              </w:rPr>
            </w:pPr>
            <w:r>
              <w:rPr>
                <w:rFonts w:ascii="Times New Roman" w:hAnsi="Times New Roman"/>
                <w:color w:val="000000"/>
                <w:sz w:val="19"/>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 Carlos P. Naudon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19"/>
              </w:rPr>
            </w:pPr>
            <w:r>
              <w:rPr>
                <w:rFonts w:ascii="Times New Roman" w:hAnsi="Times New Roman"/>
                <w:b/>
                <w:color w:val="000000"/>
                <w:sz w:val="19"/>
              </w:rPr>
              <w:t>Carlos P. Naudon</w:t>
            </w:r>
          </w:p>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President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Chief Executive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pdlb-ex32_2.htm"/>
      <w:bookmarkStart w:id="30" w:name="kspdlbex32_2"/>
      <w:bookmarkEnd w:id="29"/>
      <w:bookmarkEnd w:id="30"/>
      <w:r>
        <w:rPr/>
        <w:t> </w:t>
      </w:r>
      <w:r>
        <w:br w:type="page"/>
      </w:r>
    </w:p>
    <w:p>
      <w:pPr>
        <w:pStyle w:val="TextBody"/>
        <w:bidi w:val="0"/>
        <w:jc w:val="right"/>
        <w:rPr>
          <w:rFonts w:ascii="Times New Roman" w:hAnsi="Times New Roman"/>
          <w:b/>
          <w:color w:val="000000"/>
          <w:sz w:val="19"/>
        </w:rPr>
      </w:pPr>
      <w:r>
        <w:rPr>
          <w:rFonts w:ascii="Times New Roman" w:hAnsi="Times New Roman"/>
          <w:b/>
          <w:color w:val="000000"/>
          <w:sz w:val="19"/>
        </w:rPr>
        <w:t>Exhibit 32.2</w:t>
      </w:r>
    </w:p>
    <w:p>
      <w:pPr>
        <w:pStyle w:val="TextBody"/>
        <w:bidi w:val="0"/>
        <w:spacing w:before="360" w:after="283"/>
        <w:jc w:val="center"/>
        <w:rPr>
          <w:rFonts w:ascii="Times New Roman" w:hAnsi="Times New Roman"/>
          <w:b/>
          <w:color w:val="000000"/>
          <w:sz w:val="19"/>
        </w:rPr>
      </w:pPr>
      <w:r>
        <w:rPr>
          <w:rFonts w:ascii="Times New Roman" w:hAnsi="Times New Roman"/>
          <w:b/>
          <w:color w:val="000000"/>
          <w:sz w:val="19"/>
        </w:rPr>
        <w:t>CERTIFICATION PURSUANT TO</w:t>
      </w:r>
    </w:p>
    <w:p>
      <w:pPr>
        <w:pStyle w:val="TextBody"/>
        <w:bidi w:val="0"/>
        <w:jc w:val="center"/>
        <w:rPr>
          <w:rFonts w:ascii="Times New Roman" w:hAnsi="Times New Roman"/>
          <w:b/>
          <w:color w:val="000000"/>
          <w:sz w:val="19"/>
        </w:rPr>
      </w:pPr>
      <w:r>
        <w:rPr>
          <w:rFonts w:ascii="Times New Roman" w:hAnsi="Times New Roman"/>
          <w:b/>
          <w:color w:val="000000"/>
          <w:sz w:val="19"/>
        </w:rPr>
        <w:t>18 U.S.C. SECTION 1350, AS ADOPTED PURSUANT TO</w:t>
      </w:r>
    </w:p>
    <w:p>
      <w:pPr>
        <w:pStyle w:val="TextBody"/>
        <w:bidi w:val="0"/>
        <w:jc w:val="center"/>
        <w:rPr>
          <w:rFonts w:ascii="Times New Roman" w:hAnsi="Times New Roman"/>
          <w:b/>
          <w:color w:val="000000"/>
          <w:sz w:val="19"/>
        </w:rPr>
      </w:pPr>
      <w:r>
        <w:rPr>
          <w:rFonts w:ascii="Times New Roman" w:hAnsi="Times New Roman"/>
          <w:b/>
          <w:color w:val="000000"/>
          <w:sz w:val="19"/>
        </w:rPr>
        <w:t>SECTION 906 OF THE SARBANES-OXLEY ACT OF 2002</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In connection with the Quarterly Report of Ponce Financial Group,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(1)</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(2)</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The information contained in the Report fairly presents, in all material respects, the financial condition and results of operations of the Company.</w:t>
      </w:r>
    </w:p>
    <w:p>
      <w:pPr>
        <w:pStyle w:val="TextBody"/>
        <w:bidi w:val="0"/>
        <w:jc w:val="both"/>
        <w:rPr/>
      </w:pPr>
      <w:r>
        <w:rPr/>
        <w:t> </w:t>
      </w:r>
    </w:p>
    <w:tbl>
      <w:tblPr>
        <w:tblW w:w="4612" w:type="dxa"/>
        <w:jc w:val="left"/>
        <w:tblInd w:w="0" w:type="dxa"/>
        <w:tblLayout w:type="fixed"/>
        <w:tblCellMar>
          <w:top w:w="28" w:type="dxa"/>
          <w:left w:w="28" w:type="dxa"/>
          <w:bottom w:w="28" w:type="dxa"/>
          <w:right w:w="28" w:type="dxa"/>
        </w:tblCellMar>
      </w:tblPr>
      <w:tblGrid>
        <w:gridCol w:w="1846"/>
        <w:gridCol w:w="109"/>
        <w:gridCol w:w="406"/>
        <w:gridCol w:w="225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9"/>
              </w:rPr>
            </w:pPr>
            <w:r>
              <w:rPr>
                <w:rFonts w:ascii="Times New Roman" w:hAnsi="Times New Roman"/>
                <w:color w:val="000000"/>
                <w:sz w:val="19"/>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9"/>
              </w:rPr>
            </w:pPr>
            <w:r>
              <w:rPr>
                <w:rFonts w:ascii="Times New Roman" w:hAnsi="Times New Roman"/>
                <w:color w:val="000000"/>
                <w:sz w:val="19"/>
              </w:rPr>
              <w:t>By:</w:t>
            </w:r>
          </w:p>
        </w:tc>
        <w:tc>
          <w:tcPr>
            <w:tcW w:w="22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 Sergio J. Vaccaro</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19"/>
              </w:rPr>
            </w:pPr>
            <w:r>
              <w:rPr>
                <w:rFonts w:ascii="Times New Roman" w:hAnsi="Times New Roman"/>
                <w:b/>
                <w:color w:val="000000"/>
                <w:sz w:val="19"/>
              </w:rPr>
              <w:t>Sergio J. Vaccaro</w:t>
            </w:r>
          </w:p>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Executive Vice President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Chief Financial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74071/000156459021039921/pdlb-ex31_310.htm" TargetMode="External"/><Relationship Id="rId3" Type="http://schemas.openxmlformats.org/officeDocument/2006/relationships/hyperlink" Target="https://www.sec.gov/Archives/edgar/data/0001874071/000156459021039921/pdlb-ex32_311.htm" TargetMode="External"/><Relationship Id="rId4" Type="http://schemas.openxmlformats.org/officeDocument/2006/relationships/hyperlink" Target="https://www.sec.gov/Archives/edgar/data/0001874071/000156459022022853/pdlb-ex31_5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29884</Words>
  <Characters>161177</Characters>
  <CharactersWithSpaces>199176</CharactersWithSpaces>
  <Paragraphs>22820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